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国</w:t>
            </w:r>
            <w:r>
              <w:rPr>
                <w:rFonts w:hint="eastAsia" w:ascii="仿宋" w:hAnsi="仿宋" w:eastAsia="仿宋"/>
                <w:szCs w:val="21"/>
              </w:rPr>
              <w:t>）-</w:t>
            </w:r>
            <w:r>
              <w:rPr>
                <w:rFonts w:hint="eastAsia" w:ascii="仿宋" w:hAnsi="仿宋" w:eastAsia="仿宋"/>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Arial" w:eastAsia="仿宋_GB2312" w:cs="Arial"/>
                <w:bCs/>
                <w:color w:val="000000" w:themeColor="text1"/>
                <w:szCs w:val="21"/>
                <w14:textFill>
                  <w14:solidFill>
                    <w14:schemeClr w14:val="tx1"/>
                  </w14:solidFill>
                </w14:textFill>
              </w:rPr>
              <w:t>遵义威泽新能源有限公司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bCs/>
                <w:szCs w:val="21"/>
              </w:rPr>
              <w:t>遵义威泽新能源有限公司危险化学品（甲醇）经营安全现状评价报告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rPr>
              <w:sym w:font="Wingdings 2" w:char="0052"/>
            </w:r>
            <w:r>
              <w:rPr>
                <w:rFonts w:hint="eastAsia" w:ascii="仿宋" w:hAnsi="仿宋" w:eastAsia="仿宋"/>
                <w:szCs w:val="21"/>
              </w:rPr>
              <w:t xml:space="preserve">现状评价    </w:t>
            </w:r>
            <w:r>
              <w:rPr>
                <w:rFonts w:hint="eastAsia" w:ascii="仿宋" w:hAnsi="仿宋" w:eastAsia="仿宋"/>
                <w:szCs w:val="21"/>
              </w:rPr>
              <w:sym w:font="Wingdings 2" w:char="00A3"/>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jc w:val="center"/>
              <w:rPr>
                <w:rFonts w:hint="eastAsia" w:ascii="仿宋" w:hAnsi="仿宋" w:eastAsia="仿宋"/>
                <w:szCs w:val="21"/>
                <w:lang w:eastAsia="zh-CN"/>
              </w:rPr>
            </w:pPr>
            <w:r>
              <w:rPr>
                <w:rFonts w:hint="eastAsia" w:ascii="仿宋" w:hAnsi="仿宋" w:eastAsia="仿宋"/>
                <w:szCs w:val="21"/>
                <w:lang w:eastAsia="zh-CN"/>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苏祖明</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_GB2312" w:hAnsi="宋体" w:eastAsia="仿宋_GB2312" w:cs="宋体"/>
                <w:kern w:val="0"/>
                <w:szCs w:val="21"/>
                <w:lang w:eastAsia="zh-CN"/>
              </w:rPr>
              <w:t>蔡治勇</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 w:hAnsi="仿宋" w:eastAsia="仿宋" w:cs="Times New Roman"/>
                <w:szCs w:val="21"/>
                <w:lang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吴华桂</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2019.08</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_GB2312" w:hAnsi="宋体" w:eastAsia="仿宋_GB2312" w:cs="宋体"/>
                <w:kern w:val="0"/>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_GB2312" w:hAnsi="宋体" w:eastAsia="仿宋_GB2312" w:cs="宋体"/>
                <w:kern w:val="0"/>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_GB2312" w:hAnsi="宋体" w:eastAsia="仿宋_GB2312" w:cs="宋体"/>
                <w:kern w:val="0"/>
                <w:szCs w:val="21"/>
                <w:lang w:eastAsia="zh-CN"/>
              </w:rPr>
              <w:t>苏祖明</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_GB2312" w:hAnsi="宋体" w:eastAsia="仿宋_GB2312" w:cs="宋体"/>
                <w:kern w:val="0"/>
                <w:szCs w:val="21"/>
                <w:lang w:eastAsia="zh-CN"/>
              </w:rPr>
              <w:t>地质</w:t>
            </w:r>
          </w:p>
        </w:tc>
        <w:tc>
          <w:tcPr>
            <w:tcW w:w="2661" w:type="dxa"/>
            <w:gridSpan w:val="5"/>
            <w:noWrap w:val="0"/>
            <w:vAlign w:val="center"/>
          </w:tcPr>
          <w:p>
            <w:pPr>
              <w:widowControl/>
              <w:adjustRightInd w:val="0"/>
              <w:snapToGrid w:val="0"/>
              <w:jc w:val="center"/>
              <w:rPr>
                <w:rFonts w:hint="default" w:ascii="仿宋" w:hAnsi="仿宋" w:eastAsia="仿宋_GB2312" w:cs="宋体"/>
                <w:kern w:val="0"/>
                <w:szCs w:val="21"/>
                <w:lang w:val="en-US" w:eastAsia="zh-CN"/>
              </w:rPr>
            </w:pPr>
            <w:r>
              <w:rPr>
                <w:rFonts w:hint="default" w:ascii="仿宋" w:hAnsi="仿宋" w:eastAsia="仿宋_GB2312" w:cs="宋体"/>
                <w:kern w:val="0"/>
                <w:szCs w:val="21"/>
                <w:lang w:val="en-US" w:eastAsia="zh-CN"/>
              </w:rPr>
              <w:t>002729</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b/>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张洵</w:t>
            </w:r>
          </w:p>
        </w:tc>
        <w:tc>
          <w:tcPr>
            <w:tcW w:w="1586" w:type="dxa"/>
            <w:gridSpan w:val="2"/>
            <w:noWrap w:val="0"/>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安全工程</w:t>
            </w:r>
          </w:p>
        </w:tc>
        <w:tc>
          <w:tcPr>
            <w:tcW w:w="2661" w:type="dxa"/>
            <w:gridSpan w:val="5"/>
            <w:noWrap w:val="0"/>
            <w:vAlign w:val="center"/>
          </w:tcPr>
          <w:p>
            <w:pPr>
              <w:widowControl/>
              <w:adjustRightInd w:val="0"/>
              <w:snapToGrid w:val="0"/>
              <w:jc w:val="center"/>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034148</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王永辉</w:t>
            </w:r>
          </w:p>
        </w:tc>
        <w:tc>
          <w:tcPr>
            <w:tcW w:w="1586" w:type="dxa"/>
            <w:gridSpan w:val="2"/>
            <w:noWrap w:val="0"/>
            <w:vAlign w:val="center"/>
          </w:tcPr>
          <w:p>
            <w:pPr>
              <w:widowControl/>
              <w:adjustRightInd w:val="0"/>
              <w:snapToGrid w:val="0"/>
              <w:jc w:val="center"/>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电气</w:t>
            </w:r>
          </w:p>
        </w:tc>
        <w:tc>
          <w:tcPr>
            <w:tcW w:w="2661" w:type="dxa"/>
            <w:gridSpan w:val="5"/>
            <w:noWrap w:val="0"/>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034150</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吴华桂</w:t>
            </w:r>
          </w:p>
        </w:tc>
        <w:tc>
          <w:tcPr>
            <w:tcW w:w="1586" w:type="dxa"/>
            <w:gridSpan w:val="2"/>
            <w:noWrap w:val="0"/>
            <w:vAlign w:val="center"/>
          </w:tcPr>
          <w:p>
            <w:pPr>
              <w:widowControl/>
              <w:adjustRightInd w:val="0"/>
              <w:snapToGrid w:val="0"/>
              <w:jc w:val="both"/>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eastAsia="zh-CN"/>
              </w:rPr>
              <w:t>应用化工技术</w:t>
            </w:r>
          </w:p>
        </w:tc>
        <w:tc>
          <w:tcPr>
            <w:tcW w:w="2661" w:type="dxa"/>
            <w:gridSpan w:val="5"/>
            <w:noWrap w:val="0"/>
            <w:vAlign w:val="center"/>
          </w:tcPr>
          <w:p>
            <w:pPr>
              <w:widowControl/>
              <w:adjustRightInd w:val="0"/>
              <w:snapToGrid w:val="0"/>
              <w:jc w:val="center"/>
              <w:rPr>
                <w:rFonts w:hint="default" w:ascii="仿宋_GB2312" w:hAnsi="宋体" w:eastAsia="仿宋_GB2312" w:cs="宋体"/>
                <w:kern w:val="0"/>
                <w:szCs w:val="21"/>
                <w:lang w:val="en-US" w:eastAsia="zh-CN"/>
              </w:rPr>
            </w:pPr>
            <w:r>
              <w:rPr>
                <w:rFonts w:hint="eastAsia" w:ascii="仿宋_GB2312" w:hAnsi="宋体" w:eastAsia="仿宋_GB2312" w:cs="宋体"/>
                <w:kern w:val="0"/>
                <w:szCs w:val="21"/>
                <w:lang w:eastAsia="zh-CN"/>
              </w:rPr>
              <w:t>031213</w:t>
            </w:r>
          </w:p>
        </w:tc>
        <w:tc>
          <w:tcPr>
            <w:tcW w:w="2662" w:type="dxa"/>
            <w:gridSpan w:val="5"/>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lang w:eastAsia="zh-CN"/>
              </w:rPr>
              <w:t>冯皓</w:t>
            </w:r>
          </w:p>
        </w:tc>
        <w:tc>
          <w:tcPr>
            <w:tcW w:w="1586" w:type="dxa"/>
            <w:gridSpan w:val="2"/>
            <w:noWrap w:val="0"/>
            <w:vAlign w:val="center"/>
          </w:tcPr>
          <w:p>
            <w:pPr>
              <w:widowControl/>
              <w:adjustRightInd w:val="0"/>
              <w:snapToGrid w:val="0"/>
              <w:jc w:val="center"/>
              <w:rPr>
                <w:rFonts w:hint="eastAsia" w:ascii="仿宋" w:hAnsi="仿宋" w:eastAsia="仿宋_GB2312" w:cs="宋体"/>
                <w:kern w:val="0"/>
                <w:szCs w:val="21"/>
                <w:lang w:eastAsia="zh-CN"/>
              </w:rPr>
            </w:pPr>
            <w:r>
              <w:rPr>
                <w:rFonts w:hint="eastAsia" w:ascii="仿宋_GB2312" w:hAnsi="宋体" w:eastAsia="仿宋_GB2312" w:cs="宋体"/>
                <w:kern w:val="0"/>
                <w:szCs w:val="21"/>
                <w:lang w:eastAsia="zh-CN"/>
              </w:rPr>
              <w:t>机械、化工机械</w:t>
            </w:r>
          </w:p>
        </w:tc>
        <w:tc>
          <w:tcPr>
            <w:tcW w:w="2661" w:type="dxa"/>
            <w:gridSpan w:val="5"/>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default" w:ascii="仿宋" w:hAnsi="仿宋" w:eastAsia="仿宋" w:cs="宋体"/>
                <w:kern w:val="0"/>
                <w:szCs w:val="21"/>
                <w:lang w:val="en-US" w:eastAsia="zh-CN"/>
              </w:rPr>
              <w:t>019237</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55130140330</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_GB2312" w:hAnsi="宋体" w:eastAsia="仿宋_GB2312" w:cs="宋体"/>
                <w:kern w:val="0"/>
                <w:szCs w:val="21"/>
                <w:lang w:eastAsia="zh-CN"/>
              </w:rPr>
              <w:t>包正清</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_GB2312" w:hAnsi="宋体" w:eastAsia="仿宋_GB2312" w:cs="宋体"/>
                <w:kern w:val="0"/>
                <w:szCs w:val="21"/>
                <w:lang w:val="en-US" w:eastAsia="zh-CN"/>
              </w:rPr>
              <w:t>-</w:t>
            </w:r>
          </w:p>
        </w:tc>
        <w:tc>
          <w:tcPr>
            <w:tcW w:w="2661" w:type="dxa"/>
            <w:gridSpan w:val="5"/>
            <w:noWrap w:val="0"/>
            <w:vAlign w:val="center"/>
          </w:tcPr>
          <w:p>
            <w:pPr>
              <w:widowControl/>
              <w:adjustRightInd w:val="0"/>
              <w:snapToGrid w:val="0"/>
              <w:jc w:val="center"/>
              <w:rPr>
                <w:rFonts w:hint="default" w:ascii="仿宋" w:hAnsi="仿宋" w:eastAsia="仿宋" w:cs="宋体"/>
                <w:kern w:val="0"/>
                <w:szCs w:val="21"/>
                <w:lang w:val="en-US"/>
              </w:rPr>
            </w:pPr>
            <w:r>
              <w:rPr>
                <w:rFonts w:hint="eastAsia" w:ascii="仿宋_GB2312" w:hAnsi="宋体" w:eastAsia="仿宋_GB2312" w:cs="宋体"/>
                <w:kern w:val="0"/>
                <w:szCs w:val="21"/>
                <w:lang w:val="en-US" w:eastAsia="zh-CN"/>
              </w:rPr>
              <w:t>020777</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55090082828</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lang w:eastAsia="zh-CN"/>
              </w:rPr>
              <w:t>蔡治勇</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lang w:eastAsia="zh-CN"/>
              </w:rPr>
              <w:t>火炸药、安全</w:t>
            </w:r>
          </w:p>
        </w:tc>
        <w:tc>
          <w:tcPr>
            <w:tcW w:w="2661"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rPr>
              <w:t>003832</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Arial"/>
                <w:szCs w:val="21"/>
              </w:rPr>
              <w:t>55080052964</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ind w:firstLine="420" w:firstLineChars="200"/>
              <w:rPr>
                <w:rFonts w:hint="eastAsia" w:ascii="仿宋" w:hAnsi="仿宋" w:eastAsia="仿宋" w:cs="宋体"/>
                <w:szCs w:val="21"/>
                <w:lang w:eastAsia="zh-CN"/>
              </w:rPr>
            </w:pPr>
            <w:r>
              <w:rPr>
                <w:rFonts w:hint="eastAsia" w:ascii="仿宋" w:hAnsi="仿宋" w:eastAsia="仿宋" w:cs="宋体"/>
                <w:szCs w:val="21"/>
                <w:lang w:eastAsia="zh-CN"/>
              </w:rPr>
              <w:t>遵义威泽新能源有限公司注册地址为遵义市汇川区市场监督管理局，其经营贮存地址为：遵义市汇川区高桥街道十字社区马蹄组昌坝沟，遵义威泽新能源有限公司是一家从事经营贮存甲醇的危险化学品单位、该单位设有2个50m</w:t>
            </w:r>
            <w:r>
              <w:rPr>
                <w:rFonts w:hint="eastAsia" w:ascii="仿宋" w:hAnsi="仿宋" w:eastAsia="仿宋" w:cs="宋体"/>
                <w:szCs w:val="21"/>
                <w:vertAlign w:val="superscript"/>
                <w:lang w:eastAsia="zh-CN"/>
              </w:rPr>
              <w:t>3</w:t>
            </w:r>
            <w:r>
              <w:rPr>
                <w:rFonts w:hint="eastAsia" w:ascii="仿宋" w:hAnsi="仿宋" w:eastAsia="仿宋" w:cs="宋体"/>
                <w:szCs w:val="21"/>
                <w:lang w:eastAsia="zh-CN"/>
              </w:rPr>
              <w:t>的地埋卧式甲醇罐，1个20m</w:t>
            </w:r>
            <w:r>
              <w:rPr>
                <w:rFonts w:hint="eastAsia" w:ascii="仿宋" w:hAnsi="仿宋" w:eastAsia="仿宋" w:cs="宋体"/>
                <w:szCs w:val="21"/>
                <w:vertAlign w:val="superscript"/>
                <w:lang w:eastAsia="zh-CN"/>
              </w:rPr>
              <w:t>3</w:t>
            </w:r>
            <w:r>
              <w:rPr>
                <w:rFonts w:hint="eastAsia" w:ascii="仿宋" w:hAnsi="仿宋" w:eastAsia="仿宋" w:cs="宋体"/>
                <w:szCs w:val="21"/>
                <w:lang w:eastAsia="zh-CN"/>
              </w:rPr>
              <w:t>的调配罐（调配罐只进行调配，不储存甲醇）。</w:t>
            </w:r>
          </w:p>
          <w:p>
            <w:pPr>
              <w:adjustRightInd w:val="0"/>
              <w:snapToGrid w:val="0"/>
              <w:ind w:firstLine="420" w:firstLineChars="200"/>
              <w:rPr>
                <w:rFonts w:hint="eastAsia" w:ascii="仿宋" w:hAnsi="仿宋" w:eastAsia="仿宋" w:cs="宋体"/>
                <w:szCs w:val="21"/>
                <w:lang w:eastAsia="zh-CN"/>
              </w:rPr>
            </w:pPr>
            <w:r>
              <w:rPr>
                <w:rFonts w:hint="eastAsia" w:ascii="仿宋" w:hAnsi="仿宋" w:eastAsia="仿宋" w:cs="宋体"/>
                <w:szCs w:val="21"/>
                <w:lang w:eastAsia="zh-CN"/>
              </w:rPr>
              <w:t>遵义威泽新能源有限公司零售经营的危险化学品品种为甲醇。日常贮存的甲醇为71t。甲醇罐位置距离村镇道路约40m，交通便利。</w:t>
            </w:r>
          </w:p>
          <w:p>
            <w:pPr>
              <w:adjustRightInd w:val="0"/>
              <w:snapToGrid w:val="0"/>
              <w:ind w:firstLine="420" w:firstLineChars="200"/>
              <w:rPr>
                <w:rFonts w:hint="eastAsia" w:ascii="仿宋" w:hAnsi="仿宋" w:eastAsia="仿宋" w:cs="宋体"/>
                <w:szCs w:val="21"/>
                <w:lang w:eastAsia="zh-CN"/>
              </w:rPr>
            </w:pPr>
            <w:r>
              <w:rPr>
                <w:rFonts w:hint="eastAsia" w:ascii="仿宋" w:hAnsi="仿宋" w:eastAsia="仿宋" w:cs="宋体"/>
                <w:szCs w:val="21"/>
                <w:lang w:eastAsia="zh-CN"/>
              </w:rPr>
              <w:t>遵义威泽新能源有限公司埋地甲醇罐区域占地面积约为600m</w:t>
            </w:r>
            <w:r>
              <w:rPr>
                <w:rFonts w:hint="eastAsia" w:ascii="仿宋" w:hAnsi="仿宋" w:eastAsia="仿宋" w:cs="宋体"/>
                <w:szCs w:val="21"/>
                <w:vertAlign w:val="superscript"/>
                <w:lang w:eastAsia="zh-CN"/>
              </w:rPr>
              <w:t>2</w:t>
            </w:r>
            <w:r>
              <w:rPr>
                <w:rFonts w:hint="eastAsia" w:ascii="仿宋" w:hAnsi="仿宋" w:eastAsia="仿宋" w:cs="宋体"/>
                <w:szCs w:val="21"/>
                <w:lang w:eastAsia="zh-CN"/>
              </w:rPr>
              <w:t>，属于租赁，办公楼是3层砖混结构楼房，面积约360m</w:t>
            </w:r>
            <w:r>
              <w:rPr>
                <w:rFonts w:hint="eastAsia" w:ascii="仿宋" w:hAnsi="仿宋" w:eastAsia="仿宋" w:cs="宋体"/>
                <w:szCs w:val="21"/>
                <w:vertAlign w:val="superscript"/>
                <w:lang w:eastAsia="zh-CN"/>
              </w:rPr>
              <w:t>2</w:t>
            </w:r>
            <w:r>
              <w:rPr>
                <w:rFonts w:hint="eastAsia" w:ascii="仿宋" w:hAnsi="仿宋" w:eastAsia="仿宋" w:cs="宋体"/>
                <w:szCs w:val="21"/>
                <w:lang w:eastAsia="zh-CN"/>
              </w:rPr>
              <w:t>，亦属于租赁。</w:t>
            </w:r>
          </w:p>
          <w:p>
            <w:pPr>
              <w:adjustRightInd w:val="0"/>
              <w:snapToGrid w:val="0"/>
              <w:ind w:firstLine="420" w:firstLineChars="200"/>
              <w:rPr>
                <w:rFonts w:hint="eastAsia" w:ascii="仿宋" w:hAnsi="仿宋" w:eastAsia="仿宋" w:cs="宋体"/>
                <w:b/>
                <w:bCs/>
                <w:szCs w:val="21"/>
                <w:lang w:eastAsia="zh-CN"/>
              </w:rPr>
            </w:pPr>
            <w:r>
              <w:rPr>
                <w:rFonts w:hint="eastAsia" w:ascii="仿宋" w:hAnsi="仿宋" w:eastAsia="仿宋" w:cs="宋体"/>
                <w:szCs w:val="21"/>
                <w:lang w:eastAsia="zh-CN"/>
              </w:rPr>
              <w:t>本项目经营场所周围50m内无居民区、水源保护区、名胜古迹游览区、自然保护区和湖泊、文物保护点、行政机关、学校、医院、重要军事设施等敏感保护目标等。</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94630" cy="3970655"/>
                  <wp:effectExtent l="0" t="0" r="1270" b="10795"/>
                  <wp:docPr id="2" name="图片 2" descr="微信图片_201908041037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08041037016"/>
                          <pic:cNvPicPr>
                            <a:picLocks noChangeAspect="1"/>
                          </pic:cNvPicPr>
                        </pic:nvPicPr>
                        <pic:blipFill>
                          <a:blip r:embed="rId4"/>
                          <a:stretch>
                            <a:fillRect/>
                          </a:stretch>
                        </pic:blipFill>
                        <pic:spPr>
                          <a:xfrm>
                            <a:off x="0" y="0"/>
                            <a:ext cx="5294630" cy="3970655"/>
                          </a:xfrm>
                          <a:prstGeom prst="rect">
                            <a:avLst/>
                          </a:prstGeom>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苏祖明</w:t>
            </w:r>
          </w:p>
        </w:tc>
        <w:tc>
          <w:tcPr>
            <w:tcW w:w="2622" w:type="dxa"/>
            <w:gridSpan w:val="4"/>
            <w:noWrap w:val="0"/>
            <w:vAlign w:val="center"/>
          </w:tcPr>
          <w:p>
            <w:pPr>
              <w:spacing w:line="300" w:lineRule="exact"/>
              <w:jc w:val="center"/>
              <w:rPr>
                <w:rFonts w:hint="default" w:ascii="仿宋" w:hAnsi="仿宋" w:eastAsia="仿宋"/>
                <w:szCs w:val="21"/>
                <w:lang w:val="en-US"/>
              </w:rPr>
            </w:pPr>
            <w:r>
              <w:rPr>
                <w:rFonts w:hint="eastAsia" w:ascii="仿宋" w:hAnsi="仿宋" w:eastAsia="仿宋"/>
                <w:szCs w:val="21"/>
              </w:rPr>
              <w:t>2019.</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3</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cs="宋体"/>
                <w:szCs w:val="21"/>
              </w:rPr>
              <w:t>现场指导</w:t>
            </w:r>
          </w:p>
        </w:tc>
        <w:tc>
          <w:tcPr>
            <w:tcW w:w="3138" w:type="dxa"/>
            <w:gridSpan w:val="5"/>
            <w:vMerge w:val="restart"/>
            <w:noWrap w:val="0"/>
            <w:vAlign w:val="center"/>
          </w:tcPr>
          <w:p>
            <w:pPr>
              <w:numPr>
                <w:ilvl w:val="0"/>
                <w:numId w:val="0"/>
              </w:numPr>
              <w:spacing w:line="300" w:lineRule="exact"/>
              <w:jc w:val="left"/>
              <w:rPr>
                <w:rFonts w:hint="eastAsia" w:ascii="仿宋" w:hAnsi="仿宋" w:eastAsia="仿宋"/>
                <w:szCs w:val="21"/>
                <w:lang w:eastAsia="zh-CN"/>
              </w:rPr>
            </w:pPr>
            <w:r>
              <w:rPr>
                <w:rFonts w:hint="eastAsia" w:ascii="仿宋" w:hAnsi="仿宋" w:eastAsia="仿宋"/>
                <w:szCs w:val="21"/>
                <w:lang w:eastAsia="zh-CN"/>
              </w:rPr>
              <w:t>1、未按规定在储存场所设置可燃气体报警装置。</w:t>
            </w:r>
          </w:p>
          <w:p>
            <w:pPr>
              <w:numPr>
                <w:ilvl w:val="0"/>
                <w:numId w:val="0"/>
              </w:numPr>
              <w:spacing w:line="300" w:lineRule="exact"/>
              <w:jc w:val="left"/>
              <w:rPr>
                <w:rFonts w:hint="eastAsia" w:ascii="仿宋" w:hAnsi="仿宋" w:eastAsia="仿宋"/>
                <w:szCs w:val="21"/>
                <w:lang w:eastAsia="zh-CN"/>
              </w:rPr>
            </w:pPr>
            <w:r>
              <w:rPr>
                <w:rFonts w:hint="eastAsia" w:ascii="仿宋" w:hAnsi="仿宋" w:eastAsia="仿宋"/>
                <w:szCs w:val="21"/>
                <w:lang w:eastAsia="zh-CN"/>
              </w:rPr>
              <w:t>2、消防沙池内的沙是湿沙，不符合要求。</w:t>
            </w:r>
          </w:p>
          <w:p>
            <w:pPr>
              <w:numPr>
                <w:ilvl w:val="0"/>
                <w:numId w:val="0"/>
              </w:numPr>
              <w:spacing w:line="300" w:lineRule="exact"/>
              <w:jc w:val="left"/>
              <w:rPr>
                <w:rFonts w:hint="eastAsia" w:ascii="仿宋" w:hAnsi="仿宋" w:eastAsia="仿宋"/>
                <w:szCs w:val="21"/>
                <w:lang w:eastAsia="zh-CN"/>
              </w:rPr>
            </w:pPr>
            <w:r>
              <w:rPr>
                <w:rFonts w:hint="eastAsia" w:ascii="仿宋" w:hAnsi="仿宋" w:eastAsia="仿宋"/>
                <w:szCs w:val="21"/>
                <w:lang w:eastAsia="zh-CN"/>
              </w:rPr>
              <w:t>3、甲醇罐区域实体墙高度不够。</w:t>
            </w:r>
          </w:p>
          <w:p>
            <w:pPr>
              <w:numPr>
                <w:ilvl w:val="0"/>
                <w:numId w:val="0"/>
              </w:numPr>
              <w:spacing w:line="300" w:lineRule="exact"/>
              <w:jc w:val="left"/>
              <w:rPr>
                <w:rFonts w:hint="eastAsia" w:ascii="仿宋" w:hAnsi="仿宋" w:eastAsia="仿宋"/>
                <w:szCs w:val="21"/>
                <w:lang w:eastAsia="zh-CN"/>
              </w:rPr>
            </w:pPr>
            <w:r>
              <w:rPr>
                <w:rFonts w:hint="eastAsia" w:ascii="仿宋" w:hAnsi="仿宋" w:eastAsia="仿宋"/>
                <w:szCs w:val="21"/>
                <w:lang w:eastAsia="zh-CN"/>
              </w:rPr>
              <w:t>4、甲醇罐及调配罐无液位装置。</w:t>
            </w:r>
          </w:p>
          <w:p>
            <w:pPr>
              <w:numPr>
                <w:ilvl w:val="0"/>
                <w:numId w:val="0"/>
              </w:numPr>
              <w:spacing w:line="300" w:lineRule="exact"/>
              <w:jc w:val="left"/>
              <w:rPr>
                <w:rFonts w:hint="eastAsia" w:ascii="仿宋" w:hAnsi="仿宋" w:eastAsia="仿宋"/>
                <w:szCs w:val="21"/>
                <w:lang w:eastAsia="zh-CN"/>
              </w:rPr>
            </w:pPr>
            <w:r>
              <w:rPr>
                <w:rFonts w:hint="eastAsia" w:ascii="仿宋" w:hAnsi="仿宋" w:eastAsia="仿宋"/>
                <w:szCs w:val="21"/>
                <w:lang w:eastAsia="zh-CN"/>
              </w:rPr>
              <w:t>5、未购买工伤保险。</w:t>
            </w:r>
          </w:p>
          <w:p>
            <w:pPr>
              <w:numPr>
                <w:ilvl w:val="0"/>
                <w:numId w:val="0"/>
              </w:numPr>
              <w:spacing w:line="300" w:lineRule="exact"/>
              <w:jc w:val="left"/>
              <w:rPr>
                <w:rFonts w:hint="eastAsia" w:ascii="仿宋" w:hAnsi="仿宋" w:eastAsia="仿宋"/>
                <w:szCs w:val="21"/>
              </w:rPr>
            </w:pPr>
            <w:r>
              <w:rPr>
                <w:rFonts w:hint="eastAsia" w:ascii="仿宋" w:hAnsi="仿宋" w:eastAsia="仿宋"/>
                <w:szCs w:val="21"/>
                <w:lang w:eastAsia="zh-CN"/>
              </w:rPr>
              <w:t>6、现场的安全警示标志不足。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szCs w:val="21"/>
                <w:lang w:eastAsia="zh-CN"/>
              </w:rPr>
              <w:t>吴红玉</w:t>
            </w:r>
          </w:p>
        </w:tc>
        <w:tc>
          <w:tcPr>
            <w:tcW w:w="2622" w:type="dxa"/>
            <w:gridSpan w:val="4"/>
            <w:noWrap w:val="0"/>
            <w:vAlign w:val="center"/>
          </w:tcPr>
          <w:p>
            <w:pPr>
              <w:spacing w:line="300" w:lineRule="exact"/>
              <w:jc w:val="center"/>
              <w:rPr>
                <w:rFonts w:hint="eastAsia" w:ascii="仿宋" w:hAnsi="仿宋" w:eastAsia="仿宋"/>
                <w:b/>
                <w:szCs w:val="21"/>
              </w:rPr>
            </w:pPr>
            <w:r>
              <w:rPr>
                <w:rFonts w:hint="eastAsia" w:ascii="仿宋" w:hAnsi="仿宋" w:eastAsia="仿宋"/>
                <w:szCs w:val="21"/>
              </w:rPr>
              <w:t>2019.</w:t>
            </w:r>
            <w:r>
              <w:rPr>
                <w:rFonts w:hint="eastAsia" w:ascii="仿宋" w:hAnsi="仿宋" w:eastAsia="仿宋"/>
                <w:szCs w:val="21"/>
                <w:lang w:val="en-US" w:eastAsia="zh-CN"/>
              </w:rPr>
              <w:t>8</w:t>
            </w:r>
            <w:r>
              <w:rPr>
                <w:rFonts w:hint="eastAsia" w:ascii="仿宋" w:hAnsi="仿宋" w:eastAsia="仿宋"/>
                <w:szCs w:val="21"/>
              </w:rPr>
              <w:t>.</w:t>
            </w:r>
            <w:r>
              <w:rPr>
                <w:rFonts w:hint="eastAsia" w:ascii="仿宋" w:hAnsi="仿宋" w:eastAsia="仿宋"/>
                <w:szCs w:val="21"/>
                <w:lang w:val="en-US" w:eastAsia="zh-CN"/>
              </w:rPr>
              <w:t>3</w:t>
            </w:r>
          </w:p>
        </w:tc>
        <w:tc>
          <w:tcPr>
            <w:tcW w:w="122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F1752F6"/>
    <w:rsid w:val="1AA3558A"/>
    <w:rsid w:val="1B492CCF"/>
    <w:rsid w:val="22C37940"/>
    <w:rsid w:val="35561241"/>
    <w:rsid w:val="3ADD666B"/>
    <w:rsid w:val="3F096AF1"/>
    <w:rsid w:val="43390A25"/>
    <w:rsid w:val="47507573"/>
    <w:rsid w:val="522E3120"/>
    <w:rsid w:val="550A0BA5"/>
    <w:rsid w:val="625F0586"/>
    <w:rsid w:val="63313478"/>
    <w:rsid w:val="6C8A1A5B"/>
    <w:rsid w:val="72A42401"/>
    <w:rsid w:val="732D731F"/>
    <w:rsid w:val="7AE436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next w:val="3"/>
    <w:qFormat/>
    <w:uiPriority w:val="0"/>
    <w:pPr>
      <w:ind w:firstLine="560" w:firstLineChars="200"/>
    </w:pPr>
    <w:rPr>
      <w:rFonts w:ascii="宋体" w:hAnsi="宋体"/>
      <w:sz w:val="28"/>
      <w:szCs w:val="24"/>
    </w:rPr>
  </w:style>
  <w:style w:type="paragraph" w:styleId="3">
    <w:name w:val="footer"/>
    <w:basedOn w:val="1"/>
    <w:semiHidden/>
    <w:unhideWhenUsed/>
    <w:qFormat/>
    <w:uiPriority w:val="99"/>
    <w:pPr>
      <w:tabs>
        <w:tab w:val="center" w:pos="4153"/>
        <w:tab w:val="right" w:pos="8306"/>
      </w:tabs>
      <w:snapToGrid w:val="0"/>
      <w:jc w:val="left"/>
    </w:pPr>
    <w:rPr>
      <w:sz w:val="18"/>
      <w:szCs w:val="18"/>
    </w:rPr>
  </w:style>
  <w:style w:type="paragraph" w:styleId="4">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2020-08-14T03:25:26Z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