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300"/>
        <w:gridCol w:w="588"/>
        <w:gridCol w:w="472"/>
        <w:gridCol w:w="341"/>
        <w:gridCol w:w="949"/>
        <w:gridCol w:w="311"/>
        <w:gridCol w:w="1287"/>
        <w:gridCol w:w="163"/>
        <w:gridCol w:w="719"/>
        <w:gridCol w:w="420"/>
        <w:gridCol w:w="7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机构名称</w:t>
            </w:r>
          </w:p>
        </w:tc>
        <w:tc>
          <w:tcPr>
            <w:tcW w:w="3936" w:type="dxa"/>
            <w:gridSpan w:val="7"/>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kern w:val="0"/>
                <w:sz w:val="21"/>
                <w:szCs w:val="21"/>
              </w:rPr>
              <w:t>重庆市安全生产科学研究有限公司</w:t>
            </w:r>
          </w:p>
        </w:tc>
        <w:tc>
          <w:tcPr>
            <w:tcW w:w="1598" w:type="dxa"/>
            <w:gridSpan w:val="2"/>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资质证号</w:t>
            </w:r>
          </w:p>
        </w:tc>
        <w:tc>
          <w:tcPr>
            <w:tcW w:w="3038" w:type="dxa"/>
            <w:gridSpan w:val="5"/>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委托单位</w:t>
            </w:r>
          </w:p>
        </w:tc>
        <w:tc>
          <w:tcPr>
            <w:tcW w:w="8572" w:type="dxa"/>
            <w:gridSpan w:val="14"/>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b w:val="0"/>
                <w:bCs w:val="0"/>
                <w:sz w:val="21"/>
                <w:szCs w:val="21"/>
              </w:rPr>
              <w:t>贵州省遵义三力石油化工有限公司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项目名称</w:t>
            </w:r>
          </w:p>
        </w:tc>
        <w:tc>
          <w:tcPr>
            <w:tcW w:w="8572" w:type="dxa"/>
            <w:gridSpan w:val="14"/>
            <w:noWrap w:val="0"/>
            <w:vAlign w:val="center"/>
          </w:tcPr>
          <w:p>
            <w:pPr>
              <w:spacing w:line="500" w:lineRule="exact"/>
              <w:jc w:val="center"/>
              <w:rPr>
                <w:rFonts w:hint="eastAsia" w:ascii="仿宋" w:hAnsi="仿宋" w:eastAsia="仿宋" w:cs="仿宋"/>
                <w:bCs/>
                <w:sz w:val="21"/>
                <w:szCs w:val="21"/>
              </w:rPr>
            </w:pPr>
            <w:r>
              <w:rPr>
                <w:rFonts w:hint="eastAsia" w:ascii="仿宋" w:hAnsi="仿宋" w:eastAsia="仿宋" w:cs="仿宋"/>
                <w:bCs/>
                <w:sz w:val="21"/>
                <w:szCs w:val="21"/>
              </w:rPr>
              <w:t>贵州省遵义三力石油化工有限公司两路口加油站原址双层罐改造项目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项目类别</w:t>
            </w:r>
          </w:p>
        </w:tc>
        <w:tc>
          <w:tcPr>
            <w:tcW w:w="8572" w:type="dxa"/>
            <w:gridSpan w:val="14"/>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cs="仿宋"/>
                <w:sz w:val="21"/>
                <w:szCs w:val="21"/>
              </w:rPr>
            </w:pPr>
            <w:r>
              <w:rPr>
                <w:rFonts w:hint="eastAsia" w:ascii="仿宋" w:hAnsi="仿宋" w:eastAsia="仿宋" w:cs="仿宋"/>
                <w:b/>
                <w:sz w:val="21"/>
                <w:szCs w:val="21"/>
              </w:rPr>
              <w:t>所属业务类别</w:t>
            </w:r>
          </w:p>
        </w:tc>
        <w:tc>
          <w:tcPr>
            <w:tcW w:w="7895" w:type="dxa"/>
            <w:gridSpan w:val="13"/>
            <w:noWrap w:val="0"/>
            <w:vAlign w:val="top"/>
          </w:tcPr>
          <w:p>
            <w:pPr>
              <w:spacing w:line="400" w:lineRule="exact"/>
              <w:ind w:firstLine="2310" w:firstLineChars="1100"/>
              <w:rPr>
                <w:rFonts w:hint="eastAsia" w:ascii="仿宋" w:hAnsi="仿宋" w:eastAsia="仿宋" w:cs="仿宋"/>
                <w:sz w:val="21"/>
                <w:szCs w:val="21"/>
                <w:lang w:eastAsia="zh-CN"/>
              </w:rPr>
            </w:pPr>
            <w:r>
              <w:rPr>
                <w:rFonts w:hint="eastAsia" w:ascii="仿宋" w:hAnsi="仿宋" w:eastAsia="仿宋" w:cs="仿宋"/>
                <w:sz w:val="21"/>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5"/>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安全评价项目管理</w:t>
            </w:r>
          </w:p>
        </w:tc>
        <w:tc>
          <w:tcPr>
            <w:tcW w:w="2987" w:type="dxa"/>
            <w:gridSpan w:val="6"/>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项目组组长</w:t>
            </w:r>
          </w:p>
        </w:tc>
        <w:tc>
          <w:tcPr>
            <w:tcW w:w="2710"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技术负责人</w:t>
            </w:r>
          </w:p>
        </w:tc>
        <w:tc>
          <w:tcPr>
            <w:tcW w:w="2875"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2987" w:type="dxa"/>
            <w:gridSpan w:val="6"/>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徐茂</w:t>
            </w:r>
          </w:p>
        </w:tc>
        <w:tc>
          <w:tcPr>
            <w:tcW w:w="2710" w:type="dxa"/>
            <w:gridSpan w:val="4"/>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刘国勇</w:t>
            </w:r>
          </w:p>
        </w:tc>
        <w:tc>
          <w:tcPr>
            <w:tcW w:w="2875" w:type="dxa"/>
            <w:gridSpan w:val="4"/>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编制过程</w:t>
            </w:r>
          </w:p>
        </w:tc>
        <w:tc>
          <w:tcPr>
            <w:tcW w:w="2174"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报告编制人</w:t>
            </w:r>
          </w:p>
        </w:tc>
        <w:tc>
          <w:tcPr>
            <w:tcW w:w="2073" w:type="dxa"/>
            <w:gridSpan w:val="4"/>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报告提交日期</w:t>
            </w:r>
          </w:p>
        </w:tc>
        <w:tc>
          <w:tcPr>
            <w:tcW w:w="2169" w:type="dxa"/>
            <w:gridSpan w:val="3"/>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报告审核人</w:t>
            </w:r>
          </w:p>
        </w:tc>
        <w:tc>
          <w:tcPr>
            <w:tcW w:w="2156" w:type="dxa"/>
            <w:gridSpan w:val="3"/>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2174" w:type="dxa"/>
            <w:gridSpan w:val="4"/>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徐茂</w:t>
            </w:r>
          </w:p>
        </w:tc>
        <w:tc>
          <w:tcPr>
            <w:tcW w:w="2073" w:type="dxa"/>
            <w:gridSpan w:val="4"/>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2019.5</w:t>
            </w:r>
          </w:p>
        </w:tc>
        <w:tc>
          <w:tcPr>
            <w:tcW w:w="2169" w:type="dxa"/>
            <w:gridSpan w:val="3"/>
            <w:noWrap w:val="0"/>
            <w:vAlign w:val="center"/>
          </w:tcPr>
          <w:p>
            <w:pPr>
              <w:spacing w:line="5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蔡治勇</w:t>
            </w:r>
          </w:p>
        </w:tc>
        <w:tc>
          <w:tcPr>
            <w:tcW w:w="2156" w:type="dxa"/>
            <w:gridSpan w:val="3"/>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仿宋"/>
                <w:b/>
                <w:sz w:val="21"/>
                <w:szCs w:val="21"/>
              </w:rPr>
            </w:pPr>
            <w:r>
              <w:rPr>
                <w:rFonts w:hint="eastAsia" w:ascii="仿宋" w:hAnsi="仿宋" w:eastAsia="仿宋" w:cs="仿宋"/>
                <w:b/>
                <w:sz w:val="21"/>
                <w:szCs w:val="21"/>
              </w:rPr>
              <w:t>姓  名</w:t>
            </w:r>
          </w:p>
        </w:tc>
        <w:tc>
          <w:tcPr>
            <w:tcW w:w="1586" w:type="dxa"/>
            <w:gridSpan w:val="3"/>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认定专业</w:t>
            </w:r>
          </w:p>
        </w:tc>
        <w:tc>
          <w:tcPr>
            <w:tcW w:w="2661" w:type="dxa"/>
            <w:gridSpan w:val="5"/>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注册安全工程师</w:t>
            </w:r>
          </w:p>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注册证号</w:t>
            </w:r>
          </w:p>
        </w:tc>
        <w:tc>
          <w:tcPr>
            <w:tcW w:w="1663" w:type="dxa"/>
            <w:noWrap w:val="0"/>
            <w:vAlign w:val="center"/>
          </w:tcPr>
          <w:p>
            <w:pPr>
              <w:spacing w:line="300" w:lineRule="exact"/>
              <w:jc w:val="center"/>
              <w:rPr>
                <w:rFonts w:hint="eastAsia" w:ascii="仿宋" w:hAnsi="仿宋" w:eastAsia="仿宋" w:cs="仿宋"/>
                <w:b/>
                <w:sz w:val="21"/>
                <w:szCs w:val="21"/>
              </w:rPr>
            </w:pPr>
            <w:r>
              <w:rPr>
                <w:rFonts w:hint="eastAsia" w:ascii="仿宋" w:hAnsi="仿宋" w:eastAsia="仿宋" w:cs="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徐茂</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通风与安全</w:t>
            </w:r>
          </w:p>
        </w:tc>
        <w:tc>
          <w:tcPr>
            <w:tcW w:w="2661" w:type="dxa"/>
            <w:gridSpan w:val="5"/>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008344</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adjustRightInd w:val="0"/>
              <w:snapToGrid w:val="0"/>
              <w:spacing w:line="360" w:lineRule="exact"/>
              <w:jc w:val="center"/>
              <w:rPr>
                <w:rFonts w:hint="eastAsia" w:ascii="仿宋" w:hAnsi="仿宋" w:eastAsia="仿宋" w:cs="仿宋"/>
                <w:b/>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kern w:val="0"/>
                <w:sz w:val="21"/>
                <w:szCs w:val="21"/>
              </w:rPr>
              <w:t>吴华桂</w:t>
            </w:r>
          </w:p>
        </w:tc>
        <w:tc>
          <w:tcPr>
            <w:tcW w:w="1586" w:type="dxa"/>
            <w:gridSpan w:val="3"/>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应用化工技术</w:t>
            </w:r>
          </w:p>
        </w:tc>
        <w:tc>
          <w:tcPr>
            <w:tcW w:w="2661" w:type="dxa"/>
            <w:gridSpan w:val="5"/>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031213</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王永辉</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电气自动化</w:t>
            </w:r>
          </w:p>
        </w:tc>
        <w:tc>
          <w:tcPr>
            <w:tcW w:w="2661" w:type="dxa"/>
            <w:gridSpan w:val="5"/>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034150</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蓝远平</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冶金</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020559</w:t>
            </w:r>
          </w:p>
        </w:tc>
        <w:tc>
          <w:tcPr>
            <w:tcW w:w="2662" w:type="dxa"/>
            <w:gridSpan w:val="5"/>
            <w:noWrap w:val="0"/>
            <w:vAlign w:val="center"/>
          </w:tcPr>
          <w:p>
            <w:pPr>
              <w:widowControl/>
              <w:adjustRightInd w:val="0"/>
              <w:snapToGrid w:val="0"/>
              <w:spacing w:line="360" w:lineRule="exact"/>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吴红玉</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安全</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034149</w:t>
            </w:r>
          </w:p>
        </w:tc>
        <w:tc>
          <w:tcPr>
            <w:tcW w:w="2662" w:type="dxa"/>
            <w:gridSpan w:val="5"/>
            <w:noWrap w:val="0"/>
            <w:vAlign w:val="center"/>
          </w:tcPr>
          <w:p>
            <w:pPr>
              <w:widowControl/>
              <w:adjustRightInd w:val="0"/>
              <w:snapToGrid w:val="0"/>
              <w:spacing w:line="360" w:lineRule="exact"/>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蔡治勇</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火炸药、安全</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003832</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lang w:val="en-US" w:eastAsia="zh-CN"/>
              </w:rPr>
              <w:t>55080052964</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包正清</w:t>
            </w:r>
          </w:p>
        </w:tc>
        <w:tc>
          <w:tcPr>
            <w:tcW w:w="1586" w:type="dxa"/>
            <w:gridSpan w:val="3"/>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w:t>
            </w:r>
          </w:p>
        </w:tc>
        <w:tc>
          <w:tcPr>
            <w:tcW w:w="2661" w:type="dxa"/>
            <w:gridSpan w:val="5"/>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020777</w:t>
            </w:r>
          </w:p>
        </w:tc>
        <w:tc>
          <w:tcPr>
            <w:tcW w:w="2662" w:type="dxa"/>
            <w:gridSpan w:val="5"/>
            <w:noWrap w:val="0"/>
            <w:vAlign w:val="center"/>
          </w:tcPr>
          <w:p>
            <w:pPr>
              <w:widowControl/>
              <w:adjustRightInd w:val="0"/>
              <w:snapToGrid w:val="0"/>
              <w:spacing w:line="360" w:lineRule="exact"/>
              <w:jc w:val="center"/>
              <w:rPr>
                <w:rFonts w:hint="eastAsia" w:ascii="仿宋" w:hAnsi="仿宋" w:eastAsia="仿宋" w:cs="仿宋"/>
                <w:kern w:val="0"/>
                <w:sz w:val="21"/>
                <w:szCs w:val="21"/>
                <w:lang w:val="en-US" w:eastAsia="zh-CN" w:bidi="ar-SA"/>
              </w:rPr>
            </w:pPr>
            <w:r>
              <w:rPr>
                <w:rFonts w:hint="eastAsia" w:ascii="仿宋" w:hAnsi="仿宋" w:eastAsia="仿宋" w:cs="仿宋"/>
                <w:kern w:val="2"/>
                <w:sz w:val="21"/>
                <w:szCs w:val="21"/>
                <w:lang w:val="en-US" w:eastAsia="zh-CN" w:bidi="ar"/>
              </w:rPr>
              <w:t>55090082828</w:t>
            </w:r>
          </w:p>
        </w:tc>
        <w:tc>
          <w:tcPr>
            <w:tcW w:w="1663" w:type="dxa"/>
            <w:noWrap w:val="0"/>
            <w:vAlign w:val="center"/>
          </w:tcPr>
          <w:p>
            <w:pPr>
              <w:spacing w:line="3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rPr>
              <w:t>刘国勇</w:t>
            </w:r>
          </w:p>
        </w:tc>
        <w:tc>
          <w:tcPr>
            <w:tcW w:w="1586" w:type="dxa"/>
            <w:gridSpan w:val="3"/>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sz w:val="21"/>
                <w:szCs w:val="21"/>
                <w:lang w:val="en-US" w:eastAsia="zh-CN"/>
              </w:rPr>
              <w:t>化工工艺</w:t>
            </w:r>
          </w:p>
        </w:tc>
        <w:tc>
          <w:tcPr>
            <w:tcW w:w="2661" w:type="dxa"/>
            <w:gridSpan w:val="5"/>
            <w:noWrap w:val="0"/>
            <w:vAlign w:val="center"/>
          </w:tcPr>
          <w:p>
            <w:pPr>
              <w:spacing w:line="220" w:lineRule="atLeas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019234</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bidi="ar-SA"/>
              </w:rPr>
            </w:pPr>
            <w:r>
              <w:rPr>
                <w:rFonts w:hint="eastAsia" w:ascii="仿宋" w:hAnsi="仿宋" w:eastAsia="仿宋" w:cs="仿宋"/>
                <w:color w:val="000000"/>
                <w:kern w:val="0"/>
                <w:sz w:val="21"/>
                <w:szCs w:val="21"/>
                <w:lang w:val="en-US" w:eastAsia="zh-CN" w:bidi="ar"/>
              </w:rPr>
              <w:t>55060013805</w:t>
            </w:r>
          </w:p>
        </w:tc>
        <w:tc>
          <w:tcPr>
            <w:tcW w:w="1663"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b/>
                <w:sz w:val="21"/>
                <w:szCs w:val="21"/>
              </w:rPr>
              <w:t>项目简介</w:t>
            </w:r>
          </w:p>
        </w:tc>
        <w:tc>
          <w:tcPr>
            <w:tcW w:w="8572" w:type="dxa"/>
            <w:gridSpan w:val="14"/>
            <w:noWrap w:val="0"/>
            <w:vAlign w:val="center"/>
          </w:tcPr>
          <w:p>
            <w:pPr>
              <w:adjustRightInd w:val="0"/>
              <w:snapToGrid w:val="0"/>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项目简介：</w:t>
            </w:r>
          </w:p>
          <w:p>
            <w:pPr>
              <w:adjustRightInd w:val="0"/>
              <w:snapToGrid w:val="0"/>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两路口加油站位于贵州省遵义市播州区团溪镇两路口村，</w:t>
            </w:r>
            <w:r>
              <w:rPr>
                <w:rFonts w:hint="eastAsia" w:ascii="仿宋" w:hAnsi="仿宋" w:eastAsia="仿宋" w:cs="仿宋"/>
                <w:kern w:val="0"/>
                <w:sz w:val="21"/>
                <w:szCs w:val="21"/>
              </w:rPr>
              <w:t>占地面积642.21</w:t>
            </w:r>
            <w:r>
              <w:rPr>
                <w:rFonts w:hint="eastAsia" w:ascii="仿宋" w:hAnsi="仿宋" w:eastAsia="仿宋" w:cs="仿宋"/>
                <w:sz w:val="21"/>
                <w:szCs w:val="21"/>
              </w:rPr>
              <w:t>㎡</w:t>
            </w:r>
            <w:r>
              <w:rPr>
                <w:rFonts w:hint="eastAsia" w:ascii="仿宋" w:hAnsi="仿宋" w:eastAsia="仿宋" w:cs="仿宋"/>
                <w:kern w:val="0"/>
                <w:sz w:val="21"/>
                <w:szCs w:val="21"/>
              </w:rPr>
              <w:t>。建筑面积199.26平方米。采用自吸泵式一泵单机单枪的加油工艺，共设有自吸泵式单枪单品加油机4台。加油站于</w:t>
            </w:r>
            <w:r>
              <w:rPr>
                <w:rFonts w:hint="eastAsia" w:ascii="仿宋" w:hAnsi="仿宋" w:eastAsia="仿宋" w:cs="仿宋"/>
                <w:bCs/>
                <w:sz w:val="21"/>
                <w:szCs w:val="21"/>
              </w:rPr>
              <w:t>2018年12月8日取得危险化学品经营许可证，编号为遵WH安许证字[2018]110号，有效期至2021年12月7日。加油站罐池内设有</w:t>
            </w:r>
            <w:r>
              <w:rPr>
                <w:rFonts w:hint="eastAsia" w:ascii="仿宋" w:hAnsi="仿宋" w:eastAsia="仿宋" w:cs="仿宋"/>
                <w:sz w:val="21"/>
                <w:szCs w:val="21"/>
              </w:rPr>
              <w:t>钢制单层</w:t>
            </w:r>
            <w:r>
              <w:rPr>
                <w:rFonts w:hint="eastAsia" w:ascii="仿宋" w:hAnsi="仿宋" w:eastAsia="仿宋" w:cs="仿宋"/>
                <w:bCs/>
                <w:sz w:val="21"/>
                <w:szCs w:val="21"/>
              </w:rPr>
              <w:t>储油罐4座（其中两座已经停用），在用汽油罐10m³×1、柴油罐30m³×1</w:t>
            </w:r>
            <w:r>
              <w:rPr>
                <w:rFonts w:hint="eastAsia" w:ascii="仿宋" w:hAnsi="仿宋" w:eastAsia="仿宋" w:cs="仿宋"/>
                <w:kern w:val="0"/>
                <w:sz w:val="21"/>
                <w:szCs w:val="21"/>
              </w:rPr>
              <w:t>，总容积为40m³，柴油折半计算后加油站总容积为25m³，</w:t>
            </w:r>
            <w:r>
              <w:rPr>
                <w:rFonts w:hint="eastAsia" w:ascii="仿宋" w:hAnsi="仿宋" w:eastAsia="仿宋" w:cs="仿宋"/>
                <w:sz w:val="21"/>
                <w:szCs w:val="21"/>
              </w:rPr>
              <w:t>根据《汽车加油加气站设计与施工规范》（GB50156-2012）（2014年版）对加油站的等级划分，技改项目原属于三级加油站。</w:t>
            </w:r>
          </w:p>
          <w:p>
            <w:pPr>
              <w:adjustRightInd w:val="0"/>
              <w:snapToGrid w:val="0"/>
              <w:rPr>
                <w:rFonts w:hint="eastAsia" w:ascii="仿宋" w:hAnsi="仿宋" w:eastAsia="仿宋" w:cs="仿宋"/>
                <w:b/>
                <w:bCs/>
                <w:sz w:val="21"/>
                <w:szCs w:val="21"/>
                <w:lang w:eastAsia="zh-CN"/>
              </w:rPr>
            </w:pPr>
            <w:r>
              <w:rPr>
                <w:rFonts w:hint="eastAsia" w:ascii="仿宋" w:hAnsi="仿宋" w:eastAsia="仿宋" w:cs="仿宋"/>
                <w:sz w:val="21"/>
                <w:szCs w:val="21"/>
              </w:rPr>
              <w:t>为了响应安全环保的要求，建设单位向主管部门遵义市播州区商务局提出申请，拟进行油罐区、加油工艺管线改造，并取得遵义市播州区商务局的同意。根据技改设计方案，将罐池内拆除原有4个单层储罐，更换新购的S/F双层油罐3个，其中：30m³的车用柴油储罐1个、30m³的92#汽油储罐1个、30m³的95#汽油储罐1个。柴油容积折半计算后，加油站油罐储存总容积为75m</w:t>
            </w:r>
            <w:r>
              <w:rPr>
                <w:rFonts w:hint="eastAsia" w:ascii="仿宋" w:hAnsi="仿宋" w:eastAsia="仿宋" w:cs="仿宋"/>
                <w:sz w:val="21"/>
                <w:szCs w:val="21"/>
                <w:vertAlign w:val="superscript"/>
              </w:rPr>
              <w:t>3</w:t>
            </w:r>
            <w:r>
              <w:rPr>
                <w:rFonts w:hint="eastAsia" w:ascii="仿宋" w:hAnsi="仿宋" w:eastAsia="仿宋" w:cs="仿宋"/>
                <w:sz w:val="21"/>
                <w:szCs w:val="21"/>
              </w:rPr>
              <w:t>，根据《汽车加油加气站设计与施工规范》GB50156-2012（2014年版）对加油站的等级划分，改造后加油站站级为三级加油站</w:t>
            </w:r>
            <w:r>
              <w:rPr>
                <w:rFonts w:hint="eastAsia" w:ascii="仿宋" w:hAnsi="仿宋" w:eastAsia="仿宋" w:cs="仿宋"/>
                <w:sz w:val="21"/>
                <w:szCs w:val="21"/>
                <w:lang w:eastAsia="zh-CN"/>
              </w:rPr>
              <w:t>。</w:t>
            </w:r>
          </w:p>
          <w:p>
            <w:pPr>
              <w:adjustRightInd w:val="0"/>
              <w:snapToGrid w:val="0"/>
              <w:rPr>
                <w:rFonts w:hint="eastAsia" w:ascii="仿宋" w:hAnsi="仿宋" w:eastAsia="仿宋" w:cs="仿宋"/>
                <w:sz w:val="21"/>
                <w:szCs w:val="21"/>
                <w:lang w:eastAsia="zh-CN"/>
              </w:rPr>
            </w:pPr>
            <w:r>
              <w:rPr>
                <w:rFonts w:hint="eastAsia" w:ascii="仿宋" w:hAnsi="仿宋" w:eastAsia="仿宋" w:cs="仿宋"/>
                <w:b/>
                <w:bCs/>
                <w:sz w:val="21"/>
                <w:szCs w:val="21"/>
                <w:lang w:eastAsia="zh-CN"/>
              </w:rPr>
              <w:t>现场勘察照片</w:t>
            </w:r>
            <w:r>
              <w:rPr>
                <w:rFonts w:hint="eastAsia" w:ascii="仿宋" w:hAnsi="仿宋" w:eastAsia="仿宋" w:cs="仿宋"/>
                <w:sz w:val="21"/>
                <w:szCs w:val="21"/>
                <w:lang w:eastAsia="zh-CN"/>
              </w:rPr>
              <w:t>：</w:t>
            </w:r>
          </w:p>
          <w:p>
            <w:pPr>
              <w:adjustRightInd w:val="0"/>
              <w:snapToGrid w:val="0"/>
              <w:rPr>
                <w:rFonts w:hint="eastAsia" w:ascii="仿宋" w:hAnsi="仿宋" w:eastAsia="仿宋" w:cs="仿宋"/>
                <w:sz w:val="21"/>
                <w:szCs w:val="21"/>
                <w:lang w:eastAsia="zh-CN"/>
              </w:rPr>
            </w:pPr>
          </w:p>
          <w:p>
            <w:pPr>
              <w:adjustRightInd w:val="0"/>
              <w:snapToGrid w:val="0"/>
              <w:rPr>
                <w:rFonts w:hint="eastAsia" w:ascii="仿宋" w:hAnsi="仿宋" w:eastAsia="仿宋" w:cs="仿宋"/>
                <w:sz w:val="21"/>
                <w:szCs w:val="21"/>
              </w:rPr>
            </w:pPr>
            <w:r>
              <w:rPr>
                <w:rFonts w:hint="eastAsia" w:ascii="仿宋" w:hAnsi="仿宋" w:eastAsia="仿宋" w:cs="仿宋"/>
                <w:sz w:val="21"/>
                <w:szCs w:val="21"/>
              </w:rPr>
              <w:drawing>
                <wp:inline distT="0" distB="0" distL="114300" distR="114300">
                  <wp:extent cx="5539105" cy="3091815"/>
                  <wp:effectExtent l="0" t="0" r="4445"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b="9515"/>
                          <a:stretch>
                            <a:fillRect/>
                          </a:stretch>
                        </pic:blipFill>
                        <pic:spPr>
                          <a:xfrm>
                            <a:off x="0" y="0"/>
                            <a:ext cx="5539105" cy="30918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仿宋"/>
                <w:sz w:val="21"/>
                <w:szCs w:val="21"/>
              </w:rPr>
            </w:pPr>
            <w:r>
              <w:rPr>
                <w:rFonts w:hint="eastAsia" w:ascii="仿宋" w:hAnsi="仿宋" w:eastAsia="仿宋" w:cs="仿宋"/>
                <w:sz w:val="21"/>
                <w:szCs w:val="21"/>
              </w:rPr>
              <w:t>现场开展工作情况</w:t>
            </w:r>
          </w:p>
        </w:tc>
        <w:tc>
          <w:tcPr>
            <w:tcW w:w="1286" w:type="dxa"/>
            <w:gridSpan w:val="2"/>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勘验人员</w:t>
            </w:r>
          </w:p>
        </w:tc>
        <w:tc>
          <w:tcPr>
            <w:tcW w:w="1360" w:type="dxa"/>
            <w:gridSpan w:val="3"/>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勘验时间</w:t>
            </w:r>
          </w:p>
        </w:tc>
        <w:tc>
          <w:tcPr>
            <w:tcW w:w="4190" w:type="dxa"/>
            <w:gridSpan w:val="7"/>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勘验任务</w:t>
            </w:r>
          </w:p>
        </w:tc>
        <w:tc>
          <w:tcPr>
            <w:tcW w:w="1736" w:type="dxa"/>
            <w:gridSpan w:val="2"/>
            <w:noWrap w:val="0"/>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cs="仿宋"/>
                <w:sz w:val="21"/>
                <w:szCs w:val="21"/>
              </w:rPr>
            </w:pPr>
          </w:p>
        </w:tc>
        <w:tc>
          <w:tcPr>
            <w:tcW w:w="1286" w:type="dxa"/>
            <w:gridSpan w:val="2"/>
            <w:noWrap w:val="0"/>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徐茂</w:t>
            </w:r>
          </w:p>
        </w:tc>
        <w:tc>
          <w:tcPr>
            <w:tcW w:w="1360" w:type="dxa"/>
            <w:gridSpan w:val="3"/>
            <w:noWrap w:val="0"/>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2019.3.25</w:t>
            </w:r>
          </w:p>
        </w:tc>
        <w:tc>
          <w:tcPr>
            <w:tcW w:w="4190" w:type="dxa"/>
            <w:gridSpan w:val="7"/>
            <w:noWrap w:val="0"/>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rPr>
              <w:t>对改造项目情况、周边环境、法律法规与改造项目总平面布置图的符合性进行勘察。</w:t>
            </w:r>
          </w:p>
        </w:tc>
        <w:tc>
          <w:tcPr>
            <w:tcW w:w="1736" w:type="dxa"/>
            <w:gridSpan w:val="2"/>
            <w:noWrap w:val="0"/>
            <w:vAlign w:val="center"/>
          </w:tcPr>
          <w:p>
            <w:pPr>
              <w:spacing w:line="300" w:lineRule="exac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cs="仿宋"/>
                <w:b/>
                <w:sz w:val="21"/>
                <w:szCs w:val="21"/>
              </w:rPr>
            </w:pPr>
          </w:p>
        </w:tc>
        <w:tc>
          <w:tcPr>
            <w:tcW w:w="1286" w:type="dxa"/>
            <w:gridSpan w:val="2"/>
            <w:noWrap w:val="0"/>
            <w:vAlign w:val="center"/>
          </w:tcPr>
          <w:p>
            <w:pPr>
              <w:spacing w:line="300" w:lineRule="exact"/>
              <w:jc w:val="center"/>
              <w:rPr>
                <w:rFonts w:hint="eastAsia" w:ascii="仿宋" w:hAnsi="仿宋" w:eastAsia="仿宋" w:cs="仿宋"/>
                <w:b w:val="0"/>
                <w:bCs/>
                <w:sz w:val="21"/>
                <w:szCs w:val="21"/>
                <w:lang w:val="en-US" w:eastAsia="zh-CN"/>
              </w:rPr>
            </w:pPr>
            <w:r>
              <w:rPr>
                <w:rFonts w:hint="eastAsia" w:ascii="仿宋" w:hAnsi="仿宋" w:eastAsia="仿宋" w:cs="仿宋"/>
                <w:b w:val="0"/>
                <w:bCs/>
                <w:sz w:val="21"/>
                <w:szCs w:val="21"/>
                <w:lang w:val="en-US" w:eastAsia="zh-CN"/>
              </w:rPr>
              <w:t>王永辉</w:t>
            </w:r>
          </w:p>
        </w:tc>
        <w:tc>
          <w:tcPr>
            <w:tcW w:w="1360" w:type="dxa"/>
            <w:gridSpan w:val="3"/>
            <w:noWrap w:val="0"/>
            <w:vAlign w:val="center"/>
          </w:tcPr>
          <w:p>
            <w:pPr>
              <w:spacing w:line="300" w:lineRule="exact"/>
              <w:jc w:val="center"/>
              <w:rPr>
                <w:rFonts w:hint="eastAsia" w:ascii="仿宋" w:hAnsi="仿宋" w:eastAsia="仿宋" w:cs="仿宋"/>
                <w:b w:val="0"/>
                <w:bCs/>
                <w:sz w:val="21"/>
                <w:szCs w:val="21"/>
                <w:lang w:val="en-US" w:eastAsia="zh-CN"/>
              </w:rPr>
            </w:pPr>
            <w:r>
              <w:rPr>
                <w:rFonts w:hint="eastAsia" w:ascii="仿宋" w:hAnsi="仿宋" w:eastAsia="仿宋" w:cs="仿宋"/>
                <w:b w:val="0"/>
                <w:bCs/>
                <w:sz w:val="21"/>
                <w:szCs w:val="21"/>
                <w:lang w:val="en-US" w:eastAsia="zh-CN"/>
              </w:rPr>
              <w:t>2019.3.25</w:t>
            </w:r>
          </w:p>
        </w:tc>
        <w:tc>
          <w:tcPr>
            <w:tcW w:w="4190" w:type="dxa"/>
            <w:gridSpan w:val="7"/>
            <w:noWrap w:val="0"/>
            <w:vAlign w:val="center"/>
          </w:tcPr>
          <w:p>
            <w:pPr>
              <w:spacing w:line="300" w:lineRule="exact"/>
              <w:jc w:val="center"/>
              <w:rPr>
                <w:rFonts w:hint="eastAsia" w:ascii="仿宋" w:hAnsi="仿宋" w:eastAsia="仿宋" w:cs="仿宋"/>
                <w:b/>
                <w:sz w:val="21"/>
                <w:szCs w:val="21"/>
                <w:lang w:val="en-US" w:eastAsia="zh-CN"/>
              </w:rPr>
            </w:pPr>
            <w:r>
              <w:rPr>
                <w:rFonts w:hint="eastAsia" w:ascii="仿宋" w:hAnsi="仿宋" w:eastAsia="仿宋" w:cs="仿宋"/>
                <w:sz w:val="21"/>
                <w:szCs w:val="21"/>
              </w:rPr>
              <w:t>对改造项目情况、周边环境、法律法规与改造项目总平面布置图的符合性进行勘察。</w:t>
            </w:r>
            <w:r>
              <w:rPr>
                <w:rFonts w:hint="eastAsia" w:ascii="仿宋" w:hAnsi="仿宋" w:eastAsia="仿宋" w:cs="仿宋"/>
                <w:sz w:val="21"/>
                <w:szCs w:val="21"/>
                <w:lang w:val="en-US" w:eastAsia="zh-CN"/>
              </w:rPr>
              <w:t>并收集资料</w:t>
            </w:r>
          </w:p>
        </w:tc>
        <w:tc>
          <w:tcPr>
            <w:tcW w:w="1736" w:type="dxa"/>
            <w:gridSpan w:val="2"/>
            <w:noWrap w:val="0"/>
            <w:vAlign w:val="center"/>
          </w:tcPr>
          <w:p>
            <w:pPr>
              <w:spacing w:line="300" w:lineRule="exact"/>
              <w:jc w:val="center"/>
              <w:rPr>
                <w:rFonts w:hint="eastAsia" w:ascii="仿宋" w:hAnsi="仿宋" w:eastAsia="仿宋" w:cs="仿宋"/>
                <w:b/>
                <w:sz w:val="21"/>
                <w:szCs w:val="21"/>
                <w:lang w:val="en-US" w:eastAsia="zh-CN"/>
              </w:rPr>
            </w:pPr>
            <w:r>
              <w:rPr>
                <w:rFonts w:hint="eastAsia" w:ascii="仿宋" w:hAnsi="仿宋" w:eastAsia="仿宋" w:cs="仿宋"/>
                <w:b/>
                <w:sz w:val="21"/>
                <w:szCs w:val="21"/>
                <w:lang w:val="en-US" w:eastAsia="zh-CN"/>
              </w:rPr>
              <w:t>无</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11654564"/>
    <w:rsid w:val="167547C5"/>
    <w:rsid w:val="1B492CCF"/>
    <w:rsid w:val="21596AEA"/>
    <w:rsid w:val="22C37940"/>
    <w:rsid w:val="3AA256DB"/>
    <w:rsid w:val="44963321"/>
    <w:rsid w:val="591413D1"/>
    <w:rsid w:val="63313478"/>
    <w:rsid w:val="6AB05A49"/>
    <w:rsid w:val="6C8A1A5B"/>
    <w:rsid w:val="72A42401"/>
    <w:rsid w:val="730A4EC2"/>
    <w:rsid w:val="77317EB3"/>
    <w:rsid w:val="7BA67FFF"/>
    <w:rsid w:val="7EC71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2020-08-14T03:24:16Z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