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道真仡佬族苗族自治县浣溪兴隆采石场有限责任公司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eastAsia="zh-CN"/>
              </w:rPr>
              <w:t>道真仡佬族苗族自治县隆兴镇浣溪兴隆石灰岩矿安全预评价报告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苏祖明</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蔡治勇 </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s="仿宋"/>
                <w:sz w:val="21"/>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eastAsia="zh-CN"/>
              </w:rPr>
              <w:t>2</w:t>
            </w:r>
            <w:r>
              <w:rPr>
                <w:rFonts w:hint="eastAsia" w:ascii="仿宋" w:hAnsi="仿宋" w:eastAsia="仿宋"/>
                <w:szCs w:val="21"/>
                <w:lang w:val="en-US" w:eastAsia="zh-CN"/>
              </w:rPr>
              <w:t>019</w:t>
            </w:r>
            <w:r>
              <w:rPr>
                <w:rFonts w:hint="eastAsia" w:ascii="仿宋" w:hAnsi="仿宋" w:eastAsia="仿宋"/>
                <w:szCs w:val="21"/>
                <w:lang w:eastAsia="zh-CN"/>
              </w:rPr>
              <w:t>/</w:t>
            </w:r>
            <w:r>
              <w:rPr>
                <w:rFonts w:hint="eastAsia" w:ascii="仿宋" w:hAnsi="仿宋" w:eastAsia="仿宋"/>
                <w:szCs w:val="21"/>
                <w:lang w:val="en-US" w:eastAsia="zh-CN"/>
              </w:rPr>
              <w:t>10</w:t>
            </w:r>
            <w:r>
              <w:rPr>
                <w:rFonts w:hint="eastAsia" w:ascii="仿宋" w:hAnsi="仿宋" w:eastAsia="仿宋"/>
                <w:szCs w:val="21"/>
                <w:lang w:eastAsia="zh-CN"/>
              </w:rPr>
              <w:t>/</w:t>
            </w:r>
            <w:r>
              <w:rPr>
                <w:rFonts w:hint="eastAsia" w:ascii="仿宋" w:hAnsi="仿宋" w:eastAsia="仿宋"/>
                <w:szCs w:val="21"/>
                <w:lang w:val="en-US" w:eastAsia="zh-CN"/>
              </w:rPr>
              <w:t>31</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徐</w:t>
            </w:r>
            <w:r>
              <w:rPr>
                <w:rFonts w:hint="eastAsia" w:ascii="仿宋" w:hAnsi="仿宋" w:eastAsia="仿宋" w:cs="仿宋"/>
                <w:sz w:val="21"/>
                <w:szCs w:val="21"/>
                <w:lang w:val="en-US" w:eastAsia="zh-CN"/>
              </w:rPr>
              <w:t xml:space="preserve">  </w:t>
            </w:r>
            <w:r>
              <w:rPr>
                <w:rFonts w:hint="eastAsia" w:ascii="仿宋" w:hAnsi="仿宋" w:eastAsia="仿宋" w:cs="仿宋"/>
                <w:sz w:val="21"/>
                <w:szCs w:val="21"/>
                <w:lang w:eastAsia="zh-CN"/>
              </w:rPr>
              <w:t>茂</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通风与安全</w:t>
            </w:r>
          </w:p>
        </w:tc>
        <w:tc>
          <w:tcPr>
            <w:tcW w:w="2661" w:type="dxa"/>
            <w:gridSpan w:val="5"/>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008344</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张  洵</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034148</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lang w:eastAsia="zh-CN"/>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王永辉</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电气自动化</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034150</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031212</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吴红玉</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采矿</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034149</w:t>
            </w:r>
          </w:p>
        </w:tc>
        <w:tc>
          <w:tcPr>
            <w:tcW w:w="2662"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蔡治勇</w:t>
            </w:r>
          </w:p>
        </w:tc>
        <w:tc>
          <w:tcPr>
            <w:tcW w:w="1586" w:type="dxa"/>
            <w:gridSpan w:val="2"/>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热能与动力火工</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003832</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包正清</w:t>
            </w:r>
          </w:p>
        </w:tc>
        <w:tc>
          <w:tcPr>
            <w:tcW w:w="1586" w:type="dxa"/>
            <w:gridSpan w:val="2"/>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020777</w:t>
            </w:r>
          </w:p>
        </w:tc>
        <w:tc>
          <w:tcPr>
            <w:tcW w:w="2662" w:type="dxa"/>
            <w:gridSpan w:val="5"/>
            <w:noWrap w:val="0"/>
            <w:vAlign w:val="center"/>
          </w:tcPr>
          <w:p>
            <w:pPr>
              <w:spacing w:line="240" w:lineRule="atLeast"/>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道真仡佬族苗族自治县隆兴镇浣溪兴隆石灰岩矿采矿权人为道真仡佬族苗族自治县浣溪兴隆采石场有限责任公司（何志洪）。企业营业执照统一社会信用代码：91520325322123433H，类型：有限责任公司（自然人独资），法定代表人：何志洪，经营范围：市场主体自主选择经营。矿山于2019年8月22日取得采矿许可证，证号：C5203252009077130044490，新矿区范围由7个拐点圈定，矿区面积：0.05km2，开采标高：+1430m～+1300m，生产规模：51万t/a，开采方式：露天开采，有效期2019年8月至2025年8月。</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ascii="Arial" w:hAnsi="Arial" w:cs="Arial"/>
                <w:sz w:val="28"/>
              </w:rPr>
              <w:drawing>
                <wp:inline distT="0" distB="0" distL="114300" distR="114300">
                  <wp:extent cx="2882900" cy="1684655"/>
                  <wp:effectExtent l="0" t="0" r="1270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882900" cy="1684655"/>
                          </a:xfrm>
                          <a:prstGeom prst="rect">
                            <a:avLst/>
                          </a:prstGeom>
                          <a:noFill/>
                          <a:ln>
                            <a:noFill/>
                          </a:ln>
                        </pic:spPr>
                      </pic:pic>
                    </a:graphicData>
                  </a:graphic>
                </wp:inline>
              </w:drawing>
            </w:r>
            <w:r>
              <w:rPr>
                <w:rFonts w:ascii="Arial" w:hAnsi="Arial" w:cs="Arial"/>
                <w:sz w:val="28"/>
              </w:rPr>
              <w:drawing>
                <wp:inline distT="0" distB="0" distL="114300" distR="114300">
                  <wp:extent cx="2941320" cy="1892300"/>
                  <wp:effectExtent l="0" t="0" r="11430"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2941320" cy="1892300"/>
                          </a:xfrm>
                          <a:prstGeom prst="rect">
                            <a:avLst/>
                          </a:prstGeom>
                          <a:noFill/>
                          <a:ln>
                            <a:noFill/>
                          </a:ln>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_GB2312" w:hAnsi="宋体" w:eastAsia="仿宋_GB2312" w:cs="宋体"/>
                <w:kern w:val="0"/>
                <w:szCs w:val="21"/>
                <w:lang w:eastAsia="zh-CN"/>
              </w:rPr>
              <w:t>徐茂</w:t>
            </w:r>
          </w:p>
        </w:tc>
        <w:tc>
          <w:tcPr>
            <w:tcW w:w="2622" w:type="dxa"/>
            <w:gridSpan w:val="4"/>
            <w:noWrap w:val="0"/>
            <w:vAlign w:val="center"/>
          </w:tcPr>
          <w:p>
            <w:pPr>
              <w:spacing w:line="300" w:lineRule="exact"/>
              <w:jc w:val="center"/>
              <w:rPr>
                <w:rFonts w:hint="default" w:ascii="仿宋" w:hAnsi="仿宋" w:eastAsia="仿宋" w:cs="宋体"/>
                <w:szCs w:val="21"/>
                <w:lang w:val="en-US"/>
              </w:rPr>
            </w:pPr>
            <w:r>
              <w:rPr>
                <w:rFonts w:hint="eastAsia" w:ascii="仿宋" w:hAnsi="仿宋" w:eastAsia="仿宋"/>
                <w:szCs w:val="21"/>
              </w:rPr>
              <w:t>2019.</w:t>
            </w:r>
            <w:r>
              <w:rPr>
                <w:rFonts w:hint="eastAsia" w:ascii="仿宋" w:hAnsi="仿宋" w:eastAsia="仿宋"/>
                <w:szCs w:val="21"/>
                <w:lang w:val="en-US" w:eastAsia="zh-CN"/>
              </w:rPr>
              <w:t>08.25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default" w:ascii="仿宋" w:hAnsi="仿宋" w:eastAsia="仿宋" w:cs="宋体"/>
                <w:szCs w:val="21"/>
                <w:lang w:val="en-US" w:eastAsia="zh-CN"/>
              </w:rPr>
            </w:pPr>
            <w:r>
              <w:rPr>
                <w:rFonts w:hint="default" w:ascii="仿宋" w:hAnsi="仿宋" w:eastAsia="仿宋" w:cs="宋体"/>
                <w:szCs w:val="21"/>
                <w:lang w:val="en-US" w:eastAsia="zh-CN"/>
              </w:rPr>
              <w:t>配电室内堆放有杂物，矿山警示标志缺失。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仿宋"/>
                <w:sz w:val="21"/>
                <w:szCs w:val="21"/>
                <w:lang w:eastAsia="zh-CN"/>
              </w:rPr>
              <w:t>吴红玉</w:t>
            </w:r>
          </w:p>
        </w:tc>
        <w:tc>
          <w:tcPr>
            <w:tcW w:w="2622" w:type="dxa"/>
            <w:gridSpan w:val="4"/>
            <w:noWrap w:val="0"/>
            <w:vAlign w:val="center"/>
          </w:tcPr>
          <w:p>
            <w:pPr>
              <w:spacing w:line="300" w:lineRule="exact"/>
              <w:jc w:val="center"/>
              <w:rPr>
                <w:rFonts w:hint="default" w:ascii="仿宋" w:hAnsi="仿宋" w:eastAsia="仿宋" w:cs="宋体"/>
                <w:szCs w:val="21"/>
                <w:lang w:val="en-US" w:eastAsia="zh-CN"/>
              </w:rPr>
            </w:pPr>
            <w:r>
              <w:rPr>
                <w:rFonts w:hint="eastAsia" w:ascii="仿宋" w:hAnsi="仿宋" w:eastAsia="仿宋"/>
                <w:szCs w:val="21"/>
              </w:rPr>
              <w:t>2019.</w:t>
            </w:r>
            <w:r>
              <w:rPr>
                <w:rFonts w:hint="eastAsia" w:ascii="仿宋" w:hAnsi="仿宋" w:eastAsia="仿宋"/>
                <w:szCs w:val="21"/>
                <w:lang w:val="en-US" w:eastAsia="zh-CN"/>
              </w:rPr>
              <w:t>08</w:t>
            </w:r>
            <w:r>
              <w:rPr>
                <w:rFonts w:hint="eastAsia" w:ascii="仿宋" w:hAnsi="仿宋" w:eastAsia="仿宋"/>
                <w:szCs w:val="21"/>
              </w:rPr>
              <w:t>.</w:t>
            </w:r>
            <w:r>
              <w:rPr>
                <w:rFonts w:hint="eastAsia" w:ascii="仿宋" w:hAnsi="仿宋" w:eastAsia="仿宋"/>
                <w:szCs w:val="21"/>
                <w:lang w:val="en-US" w:eastAsia="zh-CN"/>
              </w:rPr>
              <w:t>25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moder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103D5DA9"/>
    <w:rsid w:val="1B492CCF"/>
    <w:rsid w:val="1C374E45"/>
    <w:rsid w:val="1DA31321"/>
    <w:rsid w:val="2189660F"/>
    <w:rsid w:val="22C37940"/>
    <w:rsid w:val="23F30176"/>
    <w:rsid w:val="272E1BBF"/>
    <w:rsid w:val="33D22BC1"/>
    <w:rsid w:val="37016482"/>
    <w:rsid w:val="38392731"/>
    <w:rsid w:val="3B291468"/>
    <w:rsid w:val="481D196A"/>
    <w:rsid w:val="514B4555"/>
    <w:rsid w:val="518E1B05"/>
    <w:rsid w:val="539D2DD4"/>
    <w:rsid w:val="58E503AD"/>
    <w:rsid w:val="5A417A26"/>
    <w:rsid w:val="5F7B0BF9"/>
    <w:rsid w:val="5FA1124A"/>
    <w:rsid w:val="63313478"/>
    <w:rsid w:val="6C8A1A5B"/>
    <w:rsid w:val="72A42401"/>
    <w:rsid w:val="799A4C1F"/>
    <w:rsid w:val="7A8E22AB"/>
    <w:rsid w:val="7BB8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Normal Indent"/>
    <w:basedOn w:val="1"/>
    <w:next w:val="1"/>
    <w:qFormat/>
    <w:uiPriority w:val="0"/>
    <w:pPr>
      <w:spacing w:line="360" w:lineRule="auto"/>
      <w:ind w:firstLine="397"/>
    </w:pPr>
    <w:rPr>
      <w:sz w:val="24"/>
      <w:szCs w:val="20"/>
    </w:rPr>
  </w:style>
  <w:style w:type="paragraph" w:styleId="4">
    <w:name w:val="Body Text"/>
    <w:basedOn w:val="1"/>
    <w:qFormat/>
    <w:uiPriority w:val="1"/>
    <w:pPr>
      <w:spacing w:before="154"/>
      <w:ind w:left="100"/>
      <w:jc w:val="left"/>
    </w:pPr>
    <w:rPr>
      <w:rFonts w:ascii="仿宋" w:hAnsi="仿宋" w:eastAsia="仿宋" w:cstheme="minorBidi"/>
      <w:kern w:val="0"/>
      <w:sz w:val="28"/>
      <w:szCs w:val="28"/>
      <w:lang w:eastAsia="en-US"/>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2020-08-07T03:00:51Z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