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bCs/>
                <w:szCs w:val="21"/>
                <w:lang w:eastAsia="zh-CN"/>
              </w:rPr>
              <w:t>沿河土家族自治县淇滩凯鹏采石厂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eastAsia="zh-CN"/>
              </w:rPr>
              <w:t>沿河土家族自治县淇滩凯鹏采石厂安全现状评价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吴红玉</w:t>
            </w:r>
          </w:p>
        </w:tc>
        <w:tc>
          <w:tcPr>
            <w:tcW w:w="2073"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2019/12/16 </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吴子科</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吴子科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通风与安全</w:t>
            </w:r>
          </w:p>
        </w:tc>
        <w:tc>
          <w:tcPr>
            <w:tcW w:w="2661" w:type="dxa"/>
            <w:gridSpan w:val="5"/>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008344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王永辉</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电气自动化</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034150</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eastAsia="zh-CN"/>
              </w:rPr>
              <w:t>张</w:t>
            </w:r>
            <w:r>
              <w:rPr>
                <w:rFonts w:hint="eastAsia" w:ascii="仿宋" w:hAnsi="仿宋" w:eastAsia="仿宋" w:cs="仿宋"/>
                <w:sz w:val="21"/>
                <w:szCs w:val="21"/>
                <w:lang w:val="en-US" w:eastAsia="zh-CN"/>
              </w:rPr>
              <w:t xml:space="preserve">  洵</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034148</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031212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吴红玉</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采矿</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034149</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包正清</w:t>
            </w:r>
          </w:p>
        </w:tc>
        <w:tc>
          <w:tcPr>
            <w:tcW w:w="1586" w:type="dxa"/>
            <w:gridSpan w:val="2"/>
            <w:noWrap w:val="0"/>
            <w:vAlign w:val="center"/>
          </w:tcPr>
          <w:p>
            <w:pPr>
              <w:widowControl/>
              <w:adjustRightInd w:val="0"/>
              <w:snapToGrid w:val="0"/>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020777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吴子科</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水工结构</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023846</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沿河土家族自治县淇滩凯鹏采石厂位于铜仁市沿河县土家族自治县淇滩镇，于201</w:t>
            </w:r>
            <w:r>
              <w:rPr>
                <w:rFonts w:hint="eastAsia" w:ascii="仿宋" w:hAnsi="仿宋" w:eastAsia="仿宋"/>
                <w:szCs w:val="21"/>
                <w:lang w:val="en-US" w:eastAsia="zh-CN"/>
              </w:rPr>
              <w:t>5</w:t>
            </w:r>
            <w:r>
              <w:rPr>
                <w:rFonts w:hint="eastAsia" w:ascii="仿宋" w:hAnsi="仿宋" w:eastAsia="仿宋"/>
                <w:szCs w:val="21"/>
                <w:lang w:eastAsia="zh-CN"/>
              </w:rPr>
              <w:t>年</w:t>
            </w:r>
            <w:r>
              <w:rPr>
                <w:rFonts w:hint="eastAsia" w:ascii="仿宋" w:hAnsi="仿宋" w:eastAsia="仿宋"/>
                <w:szCs w:val="21"/>
                <w:lang w:val="en-US" w:eastAsia="zh-CN"/>
              </w:rPr>
              <w:t>12</w:t>
            </w:r>
            <w:r>
              <w:rPr>
                <w:rFonts w:hint="eastAsia" w:ascii="仿宋" w:hAnsi="仿宋" w:eastAsia="仿宋"/>
                <w:szCs w:val="21"/>
                <w:lang w:eastAsia="zh-CN"/>
              </w:rPr>
              <w:t>月</w:t>
            </w:r>
            <w:r>
              <w:rPr>
                <w:rFonts w:hint="eastAsia" w:ascii="仿宋" w:hAnsi="仿宋" w:eastAsia="仿宋"/>
                <w:szCs w:val="21"/>
                <w:lang w:val="en-US" w:eastAsia="zh-CN"/>
              </w:rPr>
              <w:t>22</w:t>
            </w:r>
            <w:r>
              <w:rPr>
                <w:rFonts w:hint="eastAsia" w:ascii="仿宋" w:hAnsi="仿宋" w:eastAsia="仿宋"/>
                <w:szCs w:val="21"/>
                <w:lang w:eastAsia="zh-CN"/>
              </w:rPr>
              <w:t>日取得了铜仁市沿河土家族自治县国土资源局颁发的采矿许可证。证号：</w:t>
            </w:r>
            <w:r>
              <w:rPr>
                <w:rFonts w:hint="eastAsia" w:ascii="仿宋" w:hAnsi="仿宋" w:eastAsia="仿宋"/>
                <w:szCs w:val="21"/>
                <w:lang w:val="en-US" w:eastAsia="zh-CN"/>
              </w:rPr>
              <w:t>C5222282013067120130241</w:t>
            </w:r>
            <w:r>
              <w:rPr>
                <w:rFonts w:hint="eastAsia" w:ascii="仿宋" w:hAnsi="仿宋" w:eastAsia="仿宋"/>
                <w:szCs w:val="21"/>
                <w:lang w:eastAsia="zh-CN"/>
              </w:rPr>
              <w:t>。采矿权人：沿河土家族自治县淇滩凯鹏采石厂（崔凯旋），矿山名称：沿河土家族自治县淇滩凯鹏采石厂，经济类型：私营独资企业，开采矿种：建筑石料用灰岩；开采方式：露天开采；生产规模：</w:t>
            </w:r>
            <w:r>
              <w:rPr>
                <w:rFonts w:hint="eastAsia" w:ascii="仿宋" w:hAnsi="仿宋" w:eastAsia="仿宋"/>
                <w:szCs w:val="21"/>
                <w:lang w:val="en-US" w:eastAsia="zh-CN"/>
              </w:rPr>
              <w:t>10</w:t>
            </w:r>
            <w:r>
              <w:rPr>
                <w:rFonts w:hint="eastAsia" w:ascii="仿宋" w:hAnsi="仿宋" w:eastAsia="仿宋"/>
                <w:szCs w:val="21"/>
                <w:lang w:eastAsia="zh-CN"/>
              </w:rPr>
              <w:t>.00万立方米/年；矿区范围由</w:t>
            </w:r>
            <w:r>
              <w:rPr>
                <w:rFonts w:hint="eastAsia" w:ascii="仿宋" w:hAnsi="仿宋" w:eastAsia="仿宋"/>
                <w:szCs w:val="21"/>
                <w:lang w:val="en-US" w:eastAsia="zh-CN"/>
              </w:rPr>
              <w:t>5</w:t>
            </w:r>
            <w:r>
              <w:rPr>
                <w:rFonts w:hint="eastAsia" w:ascii="仿宋" w:hAnsi="仿宋" w:eastAsia="仿宋"/>
                <w:szCs w:val="21"/>
                <w:lang w:eastAsia="zh-CN"/>
              </w:rPr>
              <w:t>个拐点坐标圈定；矿区面积：0.</w:t>
            </w:r>
            <w:r>
              <w:rPr>
                <w:rFonts w:hint="eastAsia" w:ascii="仿宋" w:hAnsi="仿宋" w:eastAsia="仿宋"/>
                <w:szCs w:val="21"/>
                <w:lang w:val="en-US" w:eastAsia="zh-CN"/>
              </w:rPr>
              <w:t>0742</w:t>
            </w:r>
            <w:r>
              <w:rPr>
                <w:rFonts w:hint="eastAsia" w:ascii="仿宋" w:hAnsi="仿宋" w:eastAsia="仿宋"/>
                <w:szCs w:val="21"/>
                <w:lang w:eastAsia="zh-CN"/>
              </w:rPr>
              <w:t>km²；开采深度：+</w:t>
            </w:r>
            <w:r>
              <w:rPr>
                <w:rFonts w:hint="eastAsia" w:ascii="仿宋" w:hAnsi="仿宋" w:eastAsia="仿宋"/>
                <w:szCs w:val="21"/>
                <w:lang w:val="en-US" w:eastAsia="zh-CN"/>
              </w:rPr>
              <w:t>515</w:t>
            </w:r>
            <w:r>
              <w:rPr>
                <w:rFonts w:hint="eastAsia" w:ascii="仿宋" w:hAnsi="仿宋" w:eastAsia="仿宋"/>
                <w:szCs w:val="21"/>
                <w:lang w:eastAsia="zh-CN"/>
              </w:rPr>
              <w:t>～+</w:t>
            </w:r>
            <w:r>
              <w:rPr>
                <w:rFonts w:hint="eastAsia" w:ascii="仿宋" w:hAnsi="仿宋" w:eastAsia="仿宋"/>
                <w:szCs w:val="21"/>
                <w:lang w:val="en-US" w:eastAsia="zh-CN"/>
              </w:rPr>
              <w:t>445</w:t>
            </w:r>
            <w:r>
              <w:rPr>
                <w:rFonts w:hint="eastAsia" w:ascii="仿宋" w:hAnsi="仿宋" w:eastAsia="仿宋"/>
                <w:szCs w:val="21"/>
                <w:lang w:eastAsia="zh-CN"/>
              </w:rPr>
              <w:t>m；有效期限：20</w:t>
            </w:r>
            <w:r>
              <w:rPr>
                <w:rFonts w:hint="eastAsia" w:ascii="仿宋" w:hAnsi="仿宋" w:eastAsia="仿宋"/>
                <w:szCs w:val="21"/>
                <w:lang w:val="en-US" w:eastAsia="zh-CN"/>
              </w:rPr>
              <w:t>15</w:t>
            </w:r>
            <w:r>
              <w:rPr>
                <w:rFonts w:hint="eastAsia" w:ascii="仿宋" w:hAnsi="仿宋" w:eastAsia="仿宋"/>
                <w:szCs w:val="21"/>
                <w:lang w:eastAsia="zh-CN"/>
              </w:rPr>
              <w:t>年</w:t>
            </w:r>
            <w:r>
              <w:rPr>
                <w:rFonts w:hint="eastAsia" w:ascii="仿宋" w:hAnsi="仿宋" w:eastAsia="仿宋"/>
                <w:szCs w:val="21"/>
                <w:lang w:val="en-US" w:eastAsia="zh-CN"/>
              </w:rPr>
              <w:t>12</w:t>
            </w:r>
            <w:r>
              <w:rPr>
                <w:rFonts w:hint="eastAsia" w:ascii="仿宋" w:hAnsi="仿宋" w:eastAsia="仿宋"/>
                <w:szCs w:val="21"/>
                <w:lang w:eastAsia="zh-CN"/>
              </w:rPr>
              <w:t>月</w:t>
            </w:r>
            <w:r>
              <w:rPr>
                <w:rFonts w:hint="eastAsia" w:ascii="仿宋" w:hAnsi="仿宋" w:eastAsia="仿宋"/>
                <w:szCs w:val="21"/>
                <w:lang w:val="en-US" w:eastAsia="zh-CN"/>
              </w:rPr>
              <w:t>22日</w:t>
            </w:r>
            <w:r>
              <w:rPr>
                <w:rFonts w:hint="eastAsia" w:ascii="仿宋" w:hAnsi="仿宋" w:eastAsia="仿宋"/>
                <w:szCs w:val="21"/>
                <w:lang w:eastAsia="zh-CN"/>
              </w:rPr>
              <w:t>至20</w:t>
            </w:r>
            <w:r>
              <w:rPr>
                <w:rFonts w:hint="eastAsia" w:ascii="仿宋" w:hAnsi="仿宋" w:eastAsia="仿宋"/>
                <w:szCs w:val="21"/>
                <w:lang w:val="en-US" w:eastAsia="zh-CN"/>
              </w:rPr>
              <w:t>20</w:t>
            </w:r>
            <w:r>
              <w:rPr>
                <w:rFonts w:hint="eastAsia" w:ascii="仿宋" w:hAnsi="仿宋" w:eastAsia="仿宋"/>
                <w:szCs w:val="21"/>
                <w:lang w:eastAsia="zh-CN"/>
              </w:rPr>
              <w:t>年</w:t>
            </w:r>
            <w:r>
              <w:rPr>
                <w:rFonts w:hint="eastAsia" w:ascii="仿宋" w:hAnsi="仿宋" w:eastAsia="仿宋"/>
                <w:szCs w:val="21"/>
                <w:lang w:val="en-US" w:eastAsia="zh-CN"/>
              </w:rPr>
              <w:t>12</w:t>
            </w:r>
            <w:r>
              <w:rPr>
                <w:rFonts w:hint="eastAsia" w:ascii="仿宋" w:hAnsi="仿宋" w:eastAsia="仿宋"/>
                <w:szCs w:val="21"/>
                <w:lang w:eastAsia="zh-CN"/>
              </w:rPr>
              <w:t>月</w:t>
            </w:r>
            <w:r>
              <w:rPr>
                <w:rFonts w:hint="eastAsia" w:ascii="仿宋" w:hAnsi="仿宋" w:eastAsia="仿宋"/>
                <w:szCs w:val="21"/>
                <w:lang w:val="en-US" w:eastAsia="zh-CN"/>
              </w:rPr>
              <w:t>22日</w:t>
            </w:r>
            <w:r>
              <w:rPr>
                <w:rFonts w:hint="eastAsia" w:ascii="仿宋" w:hAnsi="仿宋" w:eastAsia="仿宋"/>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drawing>
                <wp:inline distT="0" distB="0" distL="114300" distR="114300">
                  <wp:extent cx="2153285" cy="2570480"/>
                  <wp:effectExtent l="0" t="0" r="18415" b="12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
                          <a:stretch>
                            <a:fillRect/>
                          </a:stretch>
                        </pic:blipFill>
                        <pic:spPr>
                          <a:xfrm>
                            <a:off x="0" y="0"/>
                            <a:ext cx="2153285" cy="2570480"/>
                          </a:xfrm>
                          <a:prstGeom prst="rect">
                            <a:avLst/>
                          </a:prstGeom>
                          <a:noFill/>
                          <a:ln>
                            <a:noFill/>
                          </a:ln>
                        </pic:spPr>
                      </pic:pic>
                    </a:graphicData>
                  </a:graphic>
                </wp:inline>
              </w:drawing>
            </w:r>
            <w:r>
              <w:rPr>
                <w:rFonts w:hint="eastAsia" w:ascii="Arial" w:hAnsi="Arial" w:eastAsia="宋体" w:cs="Arial"/>
                <w:color w:val="auto"/>
                <w:sz w:val="28"/>
                <w:szCs w:val="28"/>
                <w:highlight w:val="none"/>
                <w:lang w:eastAsia="zh-CN"/>
              </w:rPr>
              <w:drawing>
                <wp:anchor distT="0" distB="0" distL="114300" distR="114300" simplePos="0" relativeHeight="755292160" behindDoc="0" locked="0" layoutInCell="1" allowOverlap="1">
                  <wp:simplePos x="0" y="0"/>
                  <wp:positionH relativeFrom="column">
                    <wp:posOffset>2602230</wp:posOffset>
                  </wp:positionH>
                  <wp:positionV relativeFrom="paragraph">
                    <wp:posOffset>-1905</wp:posOffset>
                  </wp:positionV>
                  <wp:extent cx="2567940" cy="1925955"/>
                  <wp:effectExtent l="0" t="0" r="3810" b="17145"/>
                  <wp:wrapTopAndBottom/>
                  <wp:docPr id="63" name="图片 63" descr="人员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人员照片"/>
                          <pic:cNvPicPr>
                            <a:picLocks noChangeAspect="1"/>
                          </pic:cNvPicPr>
                        </pic:nvPicPr>
                        <pic:blipFill>
                          <a:blip r:embed="rId5"/>
                          <a:stretch>
                            <a:fillRect/>
                          </a:stretch>
                        </pic:blipFill>
                        <pic:spPr>
                          <a:xfrm>
                            <a:off x="0" y="0"/>
                            <a:ext cx="2567940" cy="1925955"/>
                          </a:xfrm>
                          <a:prstGeom prst="rect">
                            <a:avLst/>
                          </a:prstGeom>
                        </pic:spPr>
                      </pic:pic>
                    </a:graphicData>
                  </a:graphic>
                </wp:anchor>
              </w:drawing>
            </w:r>
            <w:r>
              <w:rPr>
                <w:rFonts w:hint="eastAsia" w:ascii="Arial" w:hAnsi="Arial" w:eastAsia="宋体" w:cs="Arial"/>
                <w:color w:val="auto"/>
                <w:sz w:val="28"/>
                <w:szCs w:val="28"/>
                <w:highlight w:val="none"/>
                <w:lang w:eastAsia="zh-CN"/>
              </w:rPr>
              <w:drawing>
                <wp:anchor distT="0" distB="0" distL="114300" distR="114300" simplePos="0" relativeHeight="503474176" behindDoc="0" locked="0" layoutInCell="1" allowOverlap="1">
                  <wp:simplePos x="0" y="0"/>
                  <wp:positionH relativeFrom="column">
                    <wp:posOffset>-59055</wp:posOffset>
                  </wp:positionH>
                  <wp:positionV relativeFrom="paragraph">
                    <wp:posOffset>57150</wp:posOffset>
                  </wp:positionV>
                  <wp:extent cx="2596515" cy="1947545"/>
                  <wp:effectExtent l="0" t="0" r="13335" b="14605"/>
                  <wp:wrapTopAndBottom/>
                  <wp:docPr id="62" name="图片 62" descr="微信图片_20191128091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微信图片_20191128091733"/>
                          <pic:cNvPicPr>
                            <a:picLocks noChangeAspect="1"/>
                          </pic:cNvPicPr>
                        </pic:nvPicPr>
                        <pic:blipFill>
                          <a:blip r:embed="rId6"/>
                          <a:stretch>
                            <a:fillRect/>
                          </a:stretch>
                        </pic:blipFill>
                        <pic:spPr>
                          <a:xfrm>
                            <a:off x="0" y="0"/>
                            <a:ext cx="2596515" cy="1947545"/>
                          </a:xfrm>
                          <a:prstGeom prst="rect">
                            <a:avLst/>
                          </a:prstGeom>
                        </pic:spPr>
                      </pic:pic>
                    </a:graphicData>
                  </a:graphic>
                </wp:anchor>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徐</w:t>
            </w:r>
            <w:r>
              <w:rPr>
                <w:rFonts w:hint="eastAsia" w:ascii="仿宋" w:hAnsi="仿宋" w:eastAsia="仿宋"/>
                <w:szCs w:val="21"/>
                <w:lang w:val="en-US" w:eastAsia="zh-CN"/>
              </w:rPr>
              <w:t xml:space="preserve">  </w:t>
            </w:r>
            <w:r>
              <w:rPr>
                <w:rFonts w:hint="eastAsia" w:ascii="仿宋" w:hAnsi="仿宋" w:eastAsia="仿宋"/>
                <w:szCs w:val="21"/>
                <w:lang w:eastAsia="zh-CN"/>
              </w:rPr>
              <w:t>茂</w:t>
            </w:r>
          </w:p>
        </w:tc>
        <w:tc>
          <w:tcPr>
            <w:tcW w:w="2622"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2019.11.28</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详见现场勘察记录表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吴红玉</w:t>
            </w:r>
          </w:p>
        </w:tc>
        <w:tc>
          <w:tcPr>
            <w:tcW w:w="2622" w:type="dxa"/>
            <w:gridSpan w:val="4"/>
            <w:noWrap w:val="0"/>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2019.11.28</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0D1465F5"/>
    <w:rsid w:val="100C7D06"/>
    <w:rsid w:val="103D5DA9"/>
    <w:rsid w:val="1B492CCF"/>
    <w:rsid w:val="1DA31321"/>
    <w:rsid w:val="2189660F"/>
    <w:rsid w:val="22C37940"/>
    <w:rsid w:val="3B291468"/>
    <w:rsid w:val="40822E2A"/>
    <w:rsid w:val="4707089A"/>
    <w:rsid w:val="5A417A26"/>
    <w:rsid w:val="5FA1124A"/>
    <w:rsid w:val="63313478"/>
    <w:rsid w:val="645C461B"/>
    <w:rsid w:val="64933021"/>
    <w:rsid w:val="6908062D"/>
    <w:rsid w:val="6C8A1A5B"/>
    <w:rsid w:val="72A42401"/>
    <w:rsid w:val="75F06FE8"/>
    <w:rsid w:val="7BB83AAB"/>
    <w:rsid w:val="7EF87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szCs w:val="20"/>
    </w:rPr>
  </w:style>
  <w:style w:type="paragraph" w:styleId="3">
    <w:name w:val="Body Text"/>
    <w:basedOn w:val="1"/>
    <w:qFormat/>
    <w:uiPriority w:val="1"/>
    <w:pPr>
      <w:spacing w:before="154"/>
      <w:ind w:left="100"/>
      <w:jc w:val="left"/>
    </w:pPr>
    <w:rPr>
      <w:rFonts w:ascii="仿宋" w:hAnsi="仿宋" w:eastAsia="仿宋" w:cstheme="minorBidi"/>
      <w:kern w:val="0"/>
      <w:sz w:val="28"/>
      <w:szCs w:val="28"/>
      <w:lang w:eastAsia="en-US"/>
    </w:rPr>
  </w:style>
  <w:style w:type="paragraph" w:styleId="4">
    <w:name w:val="Body Text Indent"/>
    <w:basedOn w:val="1"/>
    <w:qFormat/>
    <w:uiPriority w:val="0"/>
    <w:pPr>
      <w:ind w:firstLine="560" w:firstLineChars="200"/>
    </w:pPr>
    <w:rPr>
      <w:rFonts w:ascii="宋体" w:hAnsi="宋体"/>
      <w:sz w:val="28"/>
      <w:szCs w:val="24"/>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2020-08-07T03:00:40Z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