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中石化西南油气分公司采气三厂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</w:rPr>
              <w:t>中石化西南油气分公司采气三厂</w:t>
            </w:r>
          </w:p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</w:rPr>
              <w:t>丰谷5井建设工程安全预评价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☑预评价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陆上石油和天然气开采业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2021年3月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注册安全工程师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</w:tcPr>
          <w:p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S011053000110193002251</w:t>
            </w:r>
            <w:r>
              <w:rPr>
                <w:rFonts w:hint="eastAsia" w:ascii="仿宋" w:hAnsi="仿宋" w:eastAsia="仿宋"/>
                <w:szCs w:val="21"/>
              </w:rPr>
              <w:t>/035553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55170171255</w:t>
            </w:r>
          </w:p>
        </w:tc>
        <w:tc>
          <w:tcPr>
            <w:tcW w:w="1663" w:type="dxa"/>
          </w:tcPr>
          <w:p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55090076425</w:t>
            </w:r>
          </w:p>
        </w:tc>
        <w:tc>
          <w:tcPr>
            <w:tcW w:w="1663" w:type="dxa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fldChar w:fldCharType="begin"/>
            </w:r>
            <w:r>
              <w:instrText xml:space="preserve"> HYPERLINK "http://cydj.5anquan.com/UILogin/BeforeUserInfoShow/?id=622&amp;state=0" \t "http://cydj.5anquan.com/UILogin/_blank" </w:instrText>
            </w:r>
            <w:r>
              <w:fldChar w:fldCharType="separate"/>
            </w:r>
            <w:r>
              <w:rPr>
                <w:rFonts w:hint="eastAsia" w:ascii="仿宋" w:hAnsi="仿宋" w:eastAsia="仿宋"/>
                <w:szCs w:val="21"/>
              </w:rPr>
              <w:t>冯 皓</w:t>
            </w:r>
            <w:r>
              <w:rPr>
                <w:rFonts w:hint="eastAsia" w:ascii="仿宋" w:hAnsi="仿宋" w:eastAsia="仿宋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63" w:type="dxa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/>
                <w:color w:val="000000"/>
              </w:rPr>
              <w:t>丰谷5</w:t>
            </w:r>
            <w:r>
              <w:rPr>
                <w:color w:val="000000"/>
              </w:rPr>
              <w:t>井配套地面建设规模</w:t>
            </w:r>
            <w:r>
              <w:rPr>
                <w:rFonts w:hint="eastAsia"/>
                <w:color w:val="000000"/>
              </w:rPr>
              <w:t>、集输管道规模均</w:t>
            </w:r>
            <w:r>
              <w:rPr>
                <w:color w:val="000000"/>
              </w:rPr>
              <w:t>为0.14×10</w:t>
            </w:r>
            <w:r>
              <w:rPr>
                <w:color w:val="000000"/>
                <w:vertAlign w:val="superscript"/>
              </w:rPr>
              <w:t>4</w:t>
            </w:r>
            <w:r>
              <w:rPr>
                <w:color w:val="000000"/>
              </w:rPr>
              <w:t>m</w:t>
            </w:r>
            <w:r>
              <w:rPr>
                <w:color w:val="000000"/>
                <w:vertAlign w:val="superscript"/>
              </w:rPr>
              <w:t>3</w:t>
            </w:r>
            <w:r>
              <w:rPr>
                <w:color w:val="000000"/>
              </w:rPr>
              <w:t>/d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 xml:space="preserve">  </w:t>
            </w:r>
            <w:r>
              <w:rPr>
                <w:rFonts w:ascii="仿宋" w:hAnsi="仿宋" w:eastAsia="仿宋" w:cs="宋体"/>
                <w:szCs w:val="21"/>
              </w:rPr>
              <w:drawing>
                <wp:inline distT="0" distB="0" distL="114300" distR="114300">
                  <wp:extent cx="2202815" cy="2937510"/>
                  <wp:effectExtent l="0" t="0" r="6985" b="15240"/>
                  <wp:docPr id="3" name="图片 3" descr="微信图片_20210313122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103131224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815" cy="2937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2021.1.21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勘查周边环境及项目情况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位于绵阳市涪城区杨家镇任家村6组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7109D4"/>
    <w:rsid w:val="0C71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Lines/>
      <w:widowControl/>
      <w:tabs>
        <w:tab w:val="left" w:pos="5310"/>
      </w:tabs>
      <w:spacing w:before="50" w:beforeLines="50" w:after="50" w:afterLines="50"/>
      <w:jc w:val="left"/>
      <w:outlineLvl w:val="1"/>
    </w:pPr>
    <w:rPr>
      <w:rFonts w:eastAsia="楷体_GB2312"/>
      <w:kern w:val="0"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2021-03-17T06:38:00Z</dcterms:created>
  <dc:creator>Neuropathy.</dc:creator>
  <cp:lastModifiedBy>Neuropathy.</cp:lastModifiedBy>
  <dcterms:modified xsi:type="dcterms:W3CDTF">2021-03-17T06:38:11Z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