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甘肃阳坝铜业有限责任公司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甘肃阳坝铜业有限责任公司阳坝铜矿大沟尾矿库安全现状评价报告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hint="eastAsia" w:ascii="Segoe UI Symbol" w:hAnsi="Segoe UI Symbol" w:eastAsia="仿宋" w:cs="Segoe UI Symbol"/>
                <w:szCs w:val="21"/>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白建明</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吴子科</w:t>
            </w:r>
          </w:p>
        </w:tc>
        <w:tc>
          <w:tcPr>
            <w:tcW w:w="2875"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李俊强</w:t>
            </w:r>
          </w:p>
        </w:tc>
        <w:tc>
          <w:tcPr>
            <w:tcW w:w="2073" w:type="dxa"/>
            <w:gridSpan w:val="4"/>
            <w:vAlign w:val="center"/>
          </w:tcPr>
          <w:p>
            <w:pPr>
              <w:spacing w:line="500" w:lineRule="exact"/>
              <w:jc w:val="center"/>
              <w:rPr>
                <w:rFonts w:ascii="仿宋" w:hAnsi="仿宋" w:eastAsia="仿宋"/>
                <w:szCs w:val="21"/>
              </w:rPr>
            </w:pPr>
            <w:r>
              <w:rPr>
                <w:rFonts w:hint="eastAsia" w:ascii="仿宋" w:hAnsi="仿宋" w:eastAsia="仿宋"/>
                <w:szCs w:val="21"/>
              </w:rPr>
              <w:t>2</w:t>
            </w:r>
            <w:r>
              <w:rPr>
                <w:rFonts w:ascii="仿宋" w:hAnsi="仿宋" w:eastAsia="仿宋"/>
                <w:szCs w:val="21"/>
              </w:rPr>
              <w:t>020.</w:t>
            </w:r>
            <w:r>
              <w:rPr>
                <w:rFonts w:hint="eastAsia" w:ascii="仿宋" w:hAnsi="仿宋" w:eastAsia="仿宋"/>
                <w:szCs w:val="21"/>
              </w:rPr>
              <w:t>10</w:t>
            </w:r>
          </w:p>
        </w:tc>
        <w:tc>
          <w:tcPr>
            <w:tcW w:w="2169" w:type="dxa"/>
            <w:gridSpan w:val="4"/>
            <w:vAlign w:val="center"/>
          </w:tcPr>
          <w:p>
            <w:pPr>
              <w:spacing w:line="500" w:lineRule="exact"/>
              <w:jc w:val="center"/>
              <w:rPr>
                <w:rFonts w:ascii="仿宋" w:hAnsi="仿宋" w:eastAsia="仿宋"/>
                <w:szCs w:val="21"/>
              </w:rPr>
            </w:pPr>
            <w:r>
              <w:rPr>
                <w:rFonts w:hint="eastAsia" w:ascii="仿宋" w:hAnsi="仿宋" w:eastAsia="仿宋"/>
                <w:szCs w:val="21"/>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白建明</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电气专业</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w:t>
            </w:r>
            <w:r>
              <w:rPr>
                <w:rFonts w:ascii="仿宋" w:hAnsi="仿宋" w:eastAsia="仿宋" w:cs="宋体"/>
                <w:kern w:val="0"/>
                <w:szCs w:val="21"/>
              </w:rPr>
              <w:t>0000000201198</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62120125930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李俊强</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_GB2312" w:hAnsi="仿宋_GB2312" w:eastAsia="仿宋_GB2312" w:cs="仿宋_GB2312"/>
                <w:sz w:val="24"/>
                <w:szCs w:val="24"/>
              </w:rPr>
              <w:t>化工工艺</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1800000000301313</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田祖伟</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安全专业</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1700000000301781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55180193956-</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苏祖明</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地质专业</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0800000000104214</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徐茂</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通风专业</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0800000000204169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闫云光</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采矿专业</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S011053000110192002943</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唐波</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机械专业</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S011053000110192003004</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吴子科</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水工结构</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1500000000100173</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冯皓</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1600000000201291</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586"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火炸药、安全</w:t>
            </w:r>
          </w:p>
        </w:tc>
        <w:tc>
          <w:tcPr>
            <w:tcW w:w="2661"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0800000000102949</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ascii="仿宋" w:hAnsi="仿宋" w:eastAsia="仿宋" w:cs="宋体"/>
                <w:b/>
                <w:bCs/>
                <w:szCs w:val="21"/>
              </w:rPr>
            </w:pPr>
            <w:r>
              <w:rPr>
                <w:rFonts w:hint="eastAsia" w:ascii="仿宋" w:hAnsi="仿宋" w:eastAsia="仿宋" w:cs="宋体"/>
                <w:b/>
                <w:bCs/>
                <w:szCs w:val="21"/>
              </w:rPr>
              <w:t>项目简介：</w:t>
            </w:r>
          </w:p>
          <w:p>
            <w:pPr>
              <w:adjustRightInd w:val="0"/>
              <w:snapToGrid w:val="0"/>
              <w:spacing w:line="400" w:lineRule="exact"/>
              <w:rPr>
                <w:rFonts w:ascii="仿宋" w:hAnsi="仿宋" w:eastAsia="仿宋" w:cs="宋体"/>
                <w:bCs/>
                <w:szCs w:val="21"/>
              </w:rPr>
            </w:pPr>
            <w:bookmarkStart w:id="0" w:name="_Toc423437632"/>
            <w:r>
              <w:rPr>
                <w:rFonts w:hint="eastAsia" w:ascii="仿宋" w:hAnsi="仿宋" w:eastAsia="仿宋" w:cs="宋体"/>
                <w:bCs/>
                <w:szCs w:val="21"/>
              </w:rPr>
              <w:t>一、企业简介</w:t>
            </w:r>
          </w:p>
          <w:p>
            <w:pPr>
              <w:adjustRightInd w:val="0"/>
              <w:snapToGrid w:val="0"/>
              <w:spacing w:line="400" w:lineRule="exact"/>
              <w:rPr>
                <w:rFonts w:ascii="仿宋" w:hAnsi="仿宋" w:eastAsia="仿宋" w:cs="宋体"/>
                <w:bCs/>
                <w:szCs w:val="21"/>
              </w:rPr>
            </w:pPr>
            <w:r>
              <w:rPr>
                <w:rFonts w:hint="eastAsia" w:ascii="仿宋" w:hAnsi="仿宋" w:eastAsia="仿宋" w:cs="宋体"/>
                <w:bCs/>
                <w:szCs w:val="21"/>
              </w:rPr>
              <w:t>甘肃阳坝铜业有限责任公司是有限责任公司，注册资本壹亿万元，经营范围为铜矿石、铜精矿采选、销售；金属材料、金属制品、机械电子、矿山采掘配件制造销售。公司在甘肃省康县阳坝镇阴坝村西南侧340mY721乡道旁建有一座选矿厂，配套一座阳坝铜矿大沟尾矿库，阳坝铜矿大沟尾矿库为配套公司矿山300t/d选矿厂尾矿库。</w:t>
            </w:r>
          </w:p>
          <w:p>
            <w:pPr>
              <w:adjustRightInd w:val="0"/>
              <w:snapToGrid w:val="0"/>
              <w:spacing w:line="400" w:lineRule="exact"/>
              <w:rPr>
                <w:rFonts w:ascii="仿宋" w:hAnsi="仿宋" w:eastAsia="仿宋" w:cs="宋体"/>
                <w:bCs/>
                <w:szCs w:val="21"/>
              </w:rPr>
            </w:pPr>
            <w:r>
              <w:rPr>
                <w:rFonts w:hint="eastAsia" w:ascii="仿宋" w:hAnsi="仿宋" w:eastAsia="仿宋" w:cs="宋体"/>
                <w:bCs/>
                <w:szCs w:val="21"/>
              </w:rPr>
              <w:t>该公司现有阳坝和杜坝两个矿区，设有四个采选厂和安全环保部、生产技术部等六个职能部门。年生产能力达到采选原矿石18万吨，日处理矿量600吨，年产铜精矿量1.2万吨，精矿品位21%左右，选矿回收率达到95﹪以上，采选技术指标在同行业处于较好水平。两矿山现已探明储量160多万吨，根据区域成矿条件及探矿成果分析，深部探矿仍具有较好的前景，为公司可持续发展奠定了良好的资源基础。</w:t>
            </w:r>
          </w:p>
          <w:p>
            <w:pPr>
              <w:adjustRightInd w:val="0"/>
              <w:snapToGrid w:val="0"/>
              <w:spacing w:line="400" w:lineRule="exact"/>
              <w:rPr>
                <w:rFonts w:ascii="仿宋" w:hAnsi="仿宋" w:eastAsia="仿宋" w:cs="宋体"/>
                <w:bCs/>
                <w:szCs w:val="21"/>
              </w:rPr>
            </w:pPr>
            <w:r>
              <w:rPr>
                <w:rFonts w:hint="eastAsia" w:ascii="仿宋" w:hAnsi="仿宋" w:eastAsia="仿宋" w:cs="宋体"/>
                <w:bCs/>
                <w:szCs w:val="21"/>
              </w:rPr>
              <w:t>该公司现有员工200余人，拥有工程师及以上职称技术人员10多名，分别从事采矿、选矿、地质、测量、机械、电器、安全、环保等专业技术的管理工作，大专以上学历的30余人，是一个技术管理力量较强的正规矿山企业，该公司是康县的支柱企业和纳税大户之一，企业先后荣获陇南市“重点企业”、“纳税大户”、“安全生产标准化三级企业”“环境保护标准化B级企业”等称号。</w:t>
            </w:r>
          </w:p>
          <w:bookmarkEnd w:id="0"/>
          <w:p>
            <w:pPr>
              <w:adjustRightInd w:val="0"/>
              <w:snapToGrid w:val="0"/>
              <w:spacing w:line="400" w:lineRule="exact"/>
              <w:rPr>
                <w:rFonts w:ascii="仿宋" w:hAnsi="仿宋" w:eastAsia="仿宋" w:cs="宋体"/>
                <w:bCs/>
                <w:szCs w:val="21"/>
                <w:lang w:val="zh-CN"/>
              </w:rPr>
            </w:pPr>
            <w:bookmarkStart w:id="1" w:name="_Toc29202"/>
            <w:r>
              <w:rPr>
                <w:rFonts w:hint="eastAsia" w:ascii="仿宋" w:hAnsi="仿宋" w:eastAsia="仿宋" w:cs="宋体"/>
                <w:bCs/>
                <w:szCs w:val="21"/>
              </w:rPr>
              <w:t>二、</w:t>
            </w:r>
            <w:r>
              <w:rPr>
                <w:rFonts w:hint="eastAsia" w:ascii="仿宋" w:hAnsi="仿宋" w:eastAsia="仿宋" w:cs="宋体"/>
                <w:bCs/>
                <w:szCs w:val="21"/>
                <w:lang w:val="zh-CN"/>
              </w:rPr>
              <w:t>尾矿库库址及周边情况</w:t>
            </w:r>
            <w:bookmarkEnd w:id="1"/>
          </w:p>
          <w:p>
            <w:pPr>
              <w:adjustRightInd w:val="0"/>
              <w:snapToGrid w:val="0"/>
              <w:spacing w:line="400" w:lineRule="exact"/>
              <w:rPr>
                <w:rFonts w:ascii="仿宋" w:hAnsi="仿宋" w:eastAsia="仿宋" w:cs="宋体"/>
                <w:bCs/>
                <w:szCs w:val="21"/>
                <w:lang w:val="zh-CN"/>
              </w:rPr>
            </w:pPr>
            <w:bookmarkStart w:id="2" w:name="_Toc185403055"/>
            <w:bookmarkStart w:id="3" w:name="_Toc227490309"/>
            <w:bookmarkStart w:id="4" w:name="_Toc248381623"/>
            <w:r>
              <w:rPr>
                <w:rFonts w:hint="eastAsia" w:ascii="仿宋" w:hAnsi="仿宋" w:eastAsia="仿宋" w:cs="宋体"/>
                <w:bCs/>
                <w:szCs w:val="21"/>
                <w:lang w:val="zh-CN"/>
              </w:rPr>
              <w:t>1）尾矿库库址</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尾矿库位于甘肃省康县杜坝村瓦窑子沟杜坝河南侧的瓦窑子沟内。</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2）尾矿库周边环境及相互影响分析</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尾矿库位于甘肃省康县杜坝村瓦窑子沟杜坝河南侧，距离武阳公路500m左右。尾矿库周边山体稳定，无风景名胜、违章建筑、违章施工和违章采选作业等情况。因此，尾矿库周边环境良好，无影响尾矿库安全的设施。尾矿库下游1km范围内无居民区、村庄、学校、工厂等重要生产生活设施。本项目尾矿库渗透水经截渗沟汇入回水池，难以与外界水体发生水力联系，对杜坝河的水质影响甚微。</w:t>
            </w:r>
          </w:p>
          <w:p>
            <w:pPr>
              <w:adjustRightInd w:val="0"/>
              <w:snapToGrid w:val="0"/>
              <w:spacing w:line="400" w:lineRule="exact"/>
              <w:rPr>
                <w:rFonts w:ascii="仿宋" w:hAnsi="仿宋" w:eastAsia="仿宋" w:cs="宋体"/>
                <w:bCs/>
                <w:szCs w:val="21"/>
                <w:lang w:val="zh-CN"/>
              </w:rPr>
            </w:pPr>
            <w:bookmarkStart w:id="5" w:name="_Toc26884"/>
            <w:r>
              <w:rPr>
                <w:rFonts w:hint="eastAsia" w:ascii="仿宋" w:hAnsi="仿宋" w:eastAsia="仿宋" w:cs="宋体"/>
                <w:bCs/>
                <w:szCs w:val="21"/>
              </w:rPr>
              <w:t>3）</w:t>
            </w:r>
            <w:r>
              <w:rPr>
                <w:rFonts w:hint="eastAsia" w:ascii="仿宋" w:hAnsi="仿宋" w:eastAsia="仿宋" w:cs="宋体"/>
                <w:bCs/>
                <w:szCs w:val="21"/>
                <w:lang w:val="zh-CN"/>
              </w:rPr>
              <w:t>堆存坝高及库容</w:t>
            </w:r>
            <w:bookmarkEnd w:id="5"/>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截止评价基准日，阳坝铜矿大沟尾矿库现状坝高28.8m，堆存尾矿38.0×104m3。</w:t>
            </w:r>
          </w:p>
          <w:p>
            <w:pPr>
              <w:adjustRightInd w:val="0"/>
              <w:snapToGrid w:val="0"/>
              <w:spacing w:line="400" w:lineRule="exact"/>
              <w:rPr>
                <w:rFonts w:ascii="仿宋" w:hAnsi="仿宋" w:eastAsia="仿宋" w:cs="宋体"/>
                <w:bCs/>
                <w:szCs w:val="21"/>
                <w:lang w:val="zh-CN"/>
              </w:rPr>
            </w:pPr>
            <w:bookmarkStart w:id="6" w:name="_Toc4908"/>
            <w:r>
              <w:rPr>
                <w:rFonts w:hint="eastAsia" w:ascii="仿宋" w:hAnsi="仿宋" w:eastAsia="仿宋" w:cs="宋体"/>
                <w:bCs/>
                <w:szCs w:val="21"/>
              </w:rPr>
              <w:t>4）</w:t>
            </w:r>
            <w:r>
              <w:rPr>
                <w:rFonts w:hint="eastAsia" w:ascii="仿宋" w:hAnsi="仿宋" w:eastAsia="仿宋" w:cs="宋体"/>
                <w:bCs/>
                <w:szCs w:val="21"/>
                <w:lang w:val="zh-CN"/>
              </w:rPr>
              <w:t>尾矿坝</w:t>
            </w:r>
            <w:bookmarkEnd w:id="6"/>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（1）尾矿库库址</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甘肃阳坝铜业有限责任公司阳坝选矿厂大沟尾矿库位于甘肃省康县阳坝镇安乐河右岸的大沟内。</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（2）尾矿库周边环境及相互影响分析</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大沟尾矿库初期坝东侧20m为Y721乡道，60m处为安乐河，该尾矿库上下游无任何建筑物；尾矿坝上和库区周边无乱采、滥挖和非法爆破等现象，尾矿库多年来处于安全运行。</w:t>
            </w:r>
          </w:p>
          <w:p>
            <w:pPr>
              <w:adjustRightInd w:val="0"/>
              <w:snapToGrid w:val="0"/>
              <w:spacing w:line="400" w:lineRule="exact"/>
              <w:rPr>
                <w:rFonts w:ascii="仿宋" w:hAnsi="仿宋" w:eastAsia="仿宋" w:cs="宋体"/>
                <w:bCs/>
                <w:szCs w:val="21"/>
                <w:lang w:val="zh-CN"/>
              </w:rPr>
            </w:pPr>
            <w:bookmarkStart w:id="7" w:name="_Toc61272043"/>
            <w:r>
              <w:rPr>
                <w:rFonts w:hint="eastAsia" w:ascii="仿宋" w:hAnsi="仿宋" w:eastAsia="仿宋" w:cs="宋体"/>
                <w:bCs/>
                <w:szCs w:val="21"/>
                <w:lang w:val="zh-CN"/>
              </w:rPr>
              <w:t>（</w:t>
            </w:r>
            <w:r>
              <w:rPr>
                <w:rFonts w:hint="eastAsia" w:ascii="仿宋" w:hAnsi="仿宋" w:eastAsia="仿宋" w:cs="宋体"/>
                <w:bCs/>
                <w:szCs w:val="21"/>
              </w:rPr>
              <w:t>3）</w:t>
            </w:r>
            <w:r>
              <w:rPr>
                <w:rFonts w:hint="eastAsia" w:ascii="仿宋" w:hAnsi="仿宋" w:eastAsia="仿宋" w:cs="宋体"/>
                <w:bCs/>
                <w:szCs w:val="21"/>
                <w:lang w:val="zh-CN"/>
              </w:rPr>
              <w:t>堆存坝高及库容</w:t>
            </w:r>
            <w:bookmarkEnd w:id="7"/>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截止评价基准日，阳坝铜矿大沟尾矿库现状坝高52.0m，堆存尾矿45.0×104m3。</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w:t>
            </w:r>
            <w:r>
              <w:rPr>
                <w:rFonts w:hint="eastAsia" w:ascii="仿宋" w:hAnsi="仿宋" w:eastAsia="仿宋" w:cs="宋体"/>
                <w:bCs/>
                <w:szCs w:val="21"/>
              </w:rPr>
              <w:t>4）</w:t>
            </w:r>
            <w:r>
              <w:rPr>
                <w:rFonts w:hint="eastAsia" w:ascii="仿宋" w:hAnsi="仿宋" w:eastAsia="仿宋" w:cs="宋体"/>
                <w:bCs/>
                <w:szCs w:val="21"/>
                <w:lang w:val="zh-CN"/>
              </w:rPr>
              <w:t>初期坝</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初期坝采用土石混合碾压坝型。初期坝轴线坝高30.0m，坝顶标高860.0m，坝顶宽4.0m，坝顶长63.4m，上、下游坝面坡比分别为1：1.6。坝面采用干砌毛石护坡，共3条马道，马道宽2.0m。</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坝体与岸坡结合处构筑有坝肩截水沟。截水沟采用M7.5浆砌石结构，砂浆米面，断面尺寸B×H=0.5×0.5m。</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初期坝脚设沉淀池，将尾矿渗流水收集至回水池后扬送回选厂。</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现场检查，初期坝正常运行，坝体未见异常现象。</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w:t>
            </w:r>
            <w:r>
              <w:rPr>
                <w:rFonts w:hint="eastAsia" w:ascii="仿宋" w:hAnsi="仿宋" w:eastAsia="仿宋" w:cs="宋体"/>
                <w:bCs/>
                <w:szCs w:val="21"/>
              </w:rPr>
              <w:t>5）</w:t>
            </w:r>
            <w:r>
              <w:rPr>
                <w:rFonts w:hint="eastAsia" w:ascii="仿宋" w:hAnsi="仿宋" w:eastAsia="仿宋" w:cs="宋体"/>
                <w:bCs/>
                <w:szCs w:val="21"/>
                <w:lang w:val="zh-CN"/>
              </w:rPr>
              <w:t>堆积坝</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堆积坝采用沉积滩干尾粗砂上游式尾砂筑坝，草皮护坡，堆积坝最终坝顶标高908m，外坡比1:4.0，每上升10m修建一条马道，马道宽4.0m。堆积坝体与岸坡结合处构筑有坝肩截水沟。截水沟采用M7.5浆砌石结构，断面尺寸B×H=0.5×0.5m。坝顶现标高882.0m。目前形成3级子坝，边坡比1:4.0，第一级子坝坝高10.0m，马道宽10.0m，坝外坡覆土种草；第二级子坝坝高10m，马道宽4.0m，坝外坡覆土种草；第三级子坝目前只形成了一级小子坝，坝高2.0m，坝外坡覆土种草。各级马道均构筑有马道排水沟，C25砼结构，断面尺寸B×H=0.4m×0.4m。</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现场检查，堆积坝正常运行，坝体、排水构筑物未见异常现象。</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w:t>
            </w:r>
            <w:r>
              <w:rPr>
                <w:rFonts w:hint="eastAsia" w:ascii="仿宋" w:hAnsi="仿宋" w:eastAsia="仿宋" w:cs="宋体"/>
                <w:bCs/>
                <w:szCs w:val="21"/>
              </w:rPr>
              <w:t>6）</w:t>
            </w:r>
            <w:r>
              <w:rPr>
                <w:rFonts w:hint="eastAsia" w:ascii="仿宋" w:hAnsi="仿宋" w:eastAsia="仿宋" w:cs="宋体"/>
                <w:bCs/>
                <w:szCs w:val="21"/>
                <w:lang w:val="zh-CN"/>
              </w:rPr>
              <w:t>滩面长度</w:t>
            </w:r>
          </w:p>
          <w:p>
            <w:pPr>
              <w:adjustRightInd w:val="0"/>
              <w:snapToGrid w:val="0"/>
              <w:spacing w:line="400" w:lineRule="exact"/>
              <w:rPr>
                <w:rFonts w:ascii="仿宋" w:hAnsi="仿宋" w:eastAsia="仿宋" w:cs="宋体"/>
                <w:bCs/>
                <w:szCs w:val="21"/>
                <w:lang w:val="zh-CN"/>
              </w:rPr>
            </w:pPr>
            <w:r>
              <w:rPr>
                <w:rFonts w:hint="eastAsia" w:ascii="仿宋" w:hAnsi="仿宋" w:eastAsia="仿宋" w:cs="宋体"/>
                <w:bCs/>
                <w:szCs w:val="21"/>
                <w:lang w:val="zh-CN"/>
              </w:rPr>
              <w:t>现场调查，库内沉积滩干涸，坝顶至库尾拦洪坝长200m左右。</w:t>
            </w:r>
          </w:p>
          <w:bookmarkEnd w:id="2"/>
          <w:bookmarkEnd w:id="3"/>
          <w:bookmarkEnd w:id="4"/>
          <w:p>
            <w:pPr>
              <w:adjustRightInd w:val="0"/>
              <w:snapToGrid w:val="0"/>
              <w:spacing w:line="400" w:lineRule="exact"/>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pStyle w:val="2"/>
              <w:spacing w:line="240" w:lineRule="auto"/>
              <w:rPr>
                <w:rFonts w:ascii="仿宋" w:hAnsi="仿宋" w:eastAsia="仿宋" w:cs="宋体"/>
                <w:szCs w:val="21"/>
              </w:rPr>
            </w:pPr>
            <w:r>
              <w:rPr>
                <w:rFonts w:hint="eastAsia" w:ascii="仿宋" w:hAnsi="仿宋" w:eastAsia="仿宋" w:cs="宋体"/>
                <w:szCs w:val="21"/>
                <w:lang w:eastAsia="zh-CN"/>
              </w:rPr>
              <w:drawing>
                <wp:inline distT="0" distB="0" distL="114300" distR="114300">
                  <wp:extent cx="5283200" cy="3962400"/>
                  <wp:effectExtent l="0" t="0" r="12700" b="0"/>
                  <wp:docPr id="1" name="图片 1" descr="大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大沟"/>
                          <pic:cNvPicPr>
                            <a:picLocks noChangeAspect="1"/>
                          </pic:cNvPicPr>
                        </pic:nvPicPr>
                        <pic:blipFill>
                          <a:blip r:embed="rId4"/>
                          <a:stretch>
                            <a:fillRect/>
                          </a:stretch>
                        </pic:blipFill>
                        <pic:spPr>
                          <a:xfrm>
                            <a:off x="0" y="0"/>
                            <a:ext cx="5283200" cy="39624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白建明</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20</w:t>
            </w:r>
            <w:r>
              <w:rPr>
                <w:rFonts w:ascii="仿宋" w:hAnsi="仿宋" w:eastAsia="仿宋"/>
                <w:szCs w:val="21"/>
              </w:rPr>
              <w:t>20.</w:t>
            </w:r>
            <w:r>
              <w:rPr>
                <w:rFonts w:hint="eastAsia" w:ascii="仿宋" w:hAnsi="仿宋" w:eastAsia="仿宋"/>
                <w:szCs w:val="21"/>
              </w:rPr>
              <w:t>9</w:t>
            </w:r>
            <w:r>
              <w:rPr>
                <w:rFonts w:ascii="仿宋" w:hAnsi="仿宋" w:eastAsia="仿宋"/>
                <w:szCs w:val="21"/>
              </w:rPr>
              <w:t>.2</w:t>
            </w:r>
            <w:r>
              <w:rPr>
                <w:rFonts w:hint="eastAsia" w:ascii="仿宋" w:hAnsi="仿宋" w:eastAsia="仿宋"/>
                <w:szCs w:val="21"/>
              </w:rPr>
              <w:t>8</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现场勘验</w:t>
            </w:r>
          </w:p>
        </w:tc>
        <w:tc>
          <w:tcPr>
            <w:tcW w:w="3138" w:type="dxa"/>
            <w:gridSpan w:val="5"/>
            <w:vAlign w:val="center"/>
          </w:tcPr>
          <w:p>
            <w:pPr>
              <w:spacing w:line="300" w:lineRule="exact"/>
              <w:jc w:val="left"/>
              <w:rPr>
                <w:rFonts w:ascii="仿宋" w:hAnsi="仿宋" w:eastAsia="仿宋"/>
                <w:szCs w:val="21"/>
              </w:rPr>
            </w:pPr>
            <w:r>
              <w:rPr>
                <w:rFonts w:hint="eastAsia" w:ascii="仿宋" w:hAnsi="仿宋" w:eastAsia="仿宋"/>
                <w:szCs w:val="21"/>
              </w:rPr>
              <w:t>1.隐患排查制度不全。</w:t>
            </w:r>
          </w:p>
          <w:p>
            <w:pPr>
              <w:spacing w:line="300" w:lineRule="exact"/>
              <w:jc w:val="left"/>
              <w:rPr>
                <w:rFonts w:ascii="仿宋" w:hAnsi="仿宋" w:eastAsia="仿宋"/>
                <w:szCs w:val="21"/>
              </w:rPr>
            </w:pPr>
            <w:r>
              <w:rPr>
                <w:rFonts w:hint="eastAsia" w:ascii="仿宋" w:hAnsi="仿宋" w:eastAsia="仿宋"/>
                <w:szCs w:val="21"/>
              </w:rPr>
              <w:t>2，堆积坝局部有冲沟。</w:t>
            </w:r>
          </w:p>
          <w:p>
            <w:pPr>
              <w:spacing w:line="300" w:lineRule="exact"/>
              <w:jc w:val="left"/>
              <w:rPr>
                <w:rFonts w:ascii="仿宋" w:hAnsi="仿宋" w:eastAsia="仿宋"/>
                <w:szCs w:val="21"/>
              </w:rPr>
            </w:pPr>
            <w:r>
              <w:rPr>
                <w:rFonts w:hint="eastAsia" w:ascii="仿宋" w:hAnsi="仿宋" w:eastAsia="仿宋"/>
                <w:szCs w:val="21"/>
              </w:rPr>
              <w:t>3，安全警示标志不全。</w:t>
            </w:r>
          </w:p>
          <w:p>
            <w:pPr>
              <w:spacing w:line="300" w:lineRule="exact"/>
              <w:jc w:val="left"/>
              <w:rPr>
                <w:rFonts w:ascii="仿宋" w:hAnsi="仿宋" w:eastAsia="仿宋"/>
                <w:szCs w:val="21"/>
              </w:rPr>
            </w:pPr>
            <w:r>
              <w:rPr>
                <w:rFonts w:hint="eastAsia" w:ascii="仿宋" w:hAnsi="仿宋" w:eastAsia="仿宋"/>
                <w:szCs w:val="21"/>
              </w:rPr>
              <w:t>4，浸润线人工观测记录表填写有误。</w:t>
            </w:r>
          </w:p>
          <w:p>
            <w:pPr>
              <w:spacing w:line="300" w:lineRule="exact"/>
              <w:jc w:val="left"/>
              <w:rPr>
                <w:rFonts w:ascii="仿宋" w:hAnsi="仿宋" w:eastAsia="仿宋"/>
                <w:szCs w:val="21"/>
              </w:rPr>
            </w:pPr>
            <w:r>
              <w:rPr>
                <w:rFonts w:hint="eastAsia" w:ascii="仿宋" w:hAnsi="仿宋" w:eastAsia="仿宋"/>
                <w:szCs w:val="21"/>
              </w:rPr>
              <w:t>5，上坝道路不畅通。</w:t>
            </w:r>
          </w:p>
          <w:p>
            <w:pPr>
              <w:spacing w:line="300" w:lineRule="exact"/>
              <w:jc w:val="left"/>
              <w:rPr>
                <w:rFonts w:ascii="仿宋" w:hAnsi="仿宋" w:eastAsia="仿宋"/>
                <w:szCs w:val="21"/>
              </w:rPr>
            </w:pPr>
            <w:r>
              <w:rPr>
                <w:rFonts w:hint="eastAsia" w:ascii="仿宋" w:hAnsi="仿宋" w:eastAsia="仿宋"/>
                <w:szCs w:val="21"/>
              </w:rPr>
              <w:t>6、照明线路不畅通。</w:t>
            </w:r>
          </w:p>
        </w:tc>
      </w:tr>
    </w:tbl>
    <w:p>
      <w:bookmarkStart w:id="8" w:name="_GoBack"/>
      <w:bookmarkEnd w:id="8"/>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1222F2"/>
    <w:rsid w:val="081222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a 正文"/>
    <w:basedOn w:val="1"/>
    <w:qFormat/>
    <w:uiPriority w:val="99"/>
    <w:pPr>
      <w:spacing w:line="460" w:lineRule="exact"/>
      <w:jc w:val="center"/>
    </w:pPr>
    <w:rPr>
      <w:b/>
      <w:kern w:val="0"/>
      <w:szCs w:val="3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2021-03-17T03:07:00Z</dcterms:created>
  <dc:creator>Neuropathy.</dc:creator>
  <cp:lastModifiedBy>Neuropathy.</cp:lastModifiedBy>
  <dcterms:modified xsi:type="dcterms:W3CDTF">2021-03-17T03:07:54Z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