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16246"/>
      <w:r>
        <w:rPr>
          <w:rFonts w:hint="eastAsia" w:ascii="仿宋" w:hAnsi="仿宋" w:eastAsia="仿宋"/>
          <w:b/>
          <w:color w:val="auto"/>
          <w:sz w:val="28"/>
          <w:szCs w:val="28"/>
        </w:rPr>
        <w:t>《安全评价报告信息公布表》</w:t>
      </w:r>
      <w:bookmarkEnd w:id="0"/>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4"/>
            <w:noWrap/>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ign w:val="center"/>
          </w:tcPr>
          <w:p>
            <w:pPr>
              <w:spacing w:line="500" w:lineRule="exact"/>
              <w:jc w:val="center"/>
              <w:rPr>
                <w:rFonts w:ascii="仿宋" w:hAnsi="仿宋" w:eastAsia="仿宋"/>
                <w:color w:val="auto"/>
                <w:szCs w:val="21"/>
              </w:rPr>
            </w:pPr>
            <w:r>
              <w:rPr>
                <w:rFonts w:hint="eastAsia" w:ascii="宋体" w:hAnsi="宋体"/>
                <w:b/>
                <w:bCs/>
                <w:color w:val="auto"/>
                <w:spacing w:val="26"/>
              </w:rPr>
              <w:t>APJ-（渝）-</w:t>
            </w:r>
            <w:r>
              <w:rPr>
                <w:rFonts w:ascii="宋体" w:hAnsi="宋体"/>
                <w:b/>
                <w:bCs/>
                <w:color w:val="auto"/>
                <w:spacing w:val="26"/>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2"/>
            <w:noWrap/>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 xml:space="preserve"> 迪安汽车部件(天津)有限公司重庆分公司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2"/>
            <w:noWrap/>
            <w:vAlign w:val="center"/>
          </w:tcPr>
          <w:p>
            <w:pPr>
              <w:spacing w:line="500" w:lineRule="exact"/>
              <w:jc w:val="center"/>
              <w:rPr>
                <w:rFonts w:hint="eastAsia" w:ascii="仿宋" w:hAnsi="仿宋" w:eastAsia="仿宋"/>
                <w:bCs/>
                <w:color w:val="auto"/>
                <w:szCs w:val="21"/>
                <w:lang w:eastAsia="zh-CN"/>
              </w:rPr>
            </w:pPr>
            <w:r>
              <w:rPr>
                <w:rFonts w:hint="eastAsia" w:ascii="仿宋" w:hAnsi="仿宋" w:eastAsia="仿宋"/>
                <w:color w:val="auto"/>
                <w:szCs w:val="21"/>
                <w:lang w:eastAsia="zh-CN"/>
              </w:rPr>
              <w:t>P3011燃油箱总成装配生产项目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2"/>
            <w:noWrap/>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1"/>
            <w:noWrap/>
          </w:tcPr>
          <w:p>
            <w:pPr>
              <w:spacing w:line="400" w:lineRule="exact"/>
              <w:rPr>
                <w:rFonts w:hint="eastAsia" w:ascii="仿宋" w:hAnsi="仿宋" w:eastAsia="仿宋"/>
                <w:color w:val="auto"/>
                <w:szCs w:val="21"/>
                <w:lang w:val="en-US" w:eastAsia="zh-CN"/>
              </w:rPr>
            </w:pPr>
            <w:r>
              <w:rPr>
                <w:rFonts w:hint="eastAsia" w:ascii="仿宋" w:hAnsi="仿宋" w:eastAsia="仿宋"/>
                <w:color w:val="auto"/>
                <w:szCs w:val="21"/>
                <w:lang w:val="en-US" w:eastAsia="zh-CN"/>
              </w:rPr>
              <w:t>工贸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3"/>
            <w:noWrap/>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3"/>
            <w:noWrap/>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ign w:val="center"/>
          </w:tcPr>
          <w:p>
            <w:pPr>
              <w:spacing w:line="500" w:lineRule="exact"/>
              <w:jc w:val="center"/>
              <w:rPr>
                <w:rFonts w:ascii="仿宋" w:hAnsi="仿宋" w:eastAsia="仿宋"/>
                <w:b/>
                <w:color w:val="auto"/>
                <w:szCs w:val="21"/>
              </w:rPr>
            </w:pPr>
          </w:p>
        </w:tc>
        <w:tc>
          <w:tcPr>
            <w:tcW w:w="2987" w:type="dxa"/>
            <w:gridSpan w:val="3"/>
            <w:noWrap/>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王梅</w:t>
            </w:r>
          </w:p>
        </w:tc>
        <w:tc>
          <w:tcPr>
            <w:tcW w:w="2710" w:type="dxa"/>
            <w:gridSpan w:val="6"/>
            <w:noWrap/>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刘国勇</w:t>
            </w:r>
          </w:p>
        </w:tc>
        <w:tc>
          <w:tcPr>
            <w:tcW w:w="2875" w:type="dxa"/>
            <w:gridSpan w:val="3"/>
            <w:noWrap/>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2"/>
            <w:noWrap/>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1390" w:type="dxa"/>
            <w:vMerge w:val="continue"/>
            <w:noWrap/>
            <w:vAlign w:val="center"/>
          </w:tcPr>
          <w:p>
            <w:pPr>
              <w:spacing w:line="500" w:lineRule="exact"/>
              <w:jc w:val="center"/>
              <w:rPr>
                <w:rFonts w:ascii="仿宋" w:hAnsi="仿宋" w:eastAsia="仿宋"/>
                <w:b/>
                <w:color w:val="auto"/>
                <w:szCs w:val="21"/>
              </w:rPr>
            </w:pPr>
          </w:p>
        </w:tc>
        <w:tc>
          <w:tcPr>
            <w:tcW w:w="2174" w:type="dxa"/>
            <w:gridSpan w:val="2"/>
            <w:noWrap/>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王梅</w:t>
            </w:r>
          </w:p>
        </w:tc>
        <w:tc>
          <w:tcPr>
            <w:tcW w:w="2073" w:type="dxa"/>
            <w:gridSpan w:val="4"/>
            <w:noWrap/>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2021.1</w:t>
            </w:r>
          </w:p>
        </w:tc>
        <w:tc>
          <w:tcPr>
            <w:tcW w:w="2169" w:type="dxa"/>
            <w:gridSpan w:val="4"/>
            <w:noWrap/>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蔡治勇</w:t>
            </w:r>
          </w:p>
        </w:tc>
        <w:tc>
          <w:tcPr>
            <w:tcW w:w="2156" w:type="dxa"/>
            <w:gridSpan w:val="2"/>
            <w:noWrap/>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2174" w:type="dxa"/>
            <w:gridSpan w:val="2"/>
            <w:noWrap/>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073" w:type="dxa"/>
            <w:gridSpan w:val="4"/>
            <w:noWrap/>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390" w:type="dxa"/>
            <w:noWrap/>
            <w:vAlign w:val="center"/>
          </w:tcPr>
          <w:p>
            <w:pPr>
              <w:jc w:val="center"/>
              <w:rPr>
                <w:rFonts w:ascii="仿宋" w:hAnsi="仿宋" w:eastAsia="仿宋"/>
                <w:color w:val="auto"/>
                <w:szCs w:val="21"/>
              </w:rPr>
            </w:pPr>
            <w:r>
              <w:rPr>
                <w:rFonts w:hint="eastAsia" w:ascii="仿宋" w:hAnsi="仿宋" w:eastAsia="仿宋"/>
                <w:color w:val="auto"/>
                <w:szCs w:val="21"/>
              </w:rPr>
              <w:t>王梅</w:t>
            </w:r>
          </w:p>
        </w:tc>
        <w:tc>
          <w:tcPr>
            <w:tcW w:w="2174" w:type="dxa"/>
            <w:gridSpan w:val="2"/>
            <w:noWrap/>
            <w:vAlign w:val="center"/>
          </w:tcPr>
          <w:p>
            <w:pPr>
              <w:jc w:val="center"/>
              <w:rPr>
                <w:rFonts w:ascii="仿宋" w:hAnsi="仿宋" w:eastAsia="仿宋"/>
                <w:color w:val="auto"/>
                <w:szCs w:val="21"/>
              </w:rPr>
            </w:pPr>
            <w:r>
              <w:rPr>
                <w:rFonts w:hint="eastAsia" w:ascii="仿宋" w:hAnsi="仿宋" w:eastAsia="仿宋"/>
                <w:color w:val="auto"/>
                <w:szCs w:val="21"/>
              </w:rPr>
              <w:t>电气</w:t>
            </w:r>
          </w:p>
        </w:tc>
        <w:tc>
          <w:tcPr>
            <w:tcW w:w="2073" w:type="dxa"/>
            <w:gridSpan w:val="4"/>
            <w:noWrap/>
            <w:vAlign w:val="center"/>
          </w:tcPr>
          <w:p>
            <w:pPr>
              <w:jc w:val="center"/>
              <w:rPr>
                <w:rFonts w:ascii="仿宋" w:hAnsi="仿宋" w:eastAsia="仿宋"/>
                <w:color w:val="auto"/>
                <w:szCs w:val="21"/>
              </w:rPr>
            </w:pPr>
            <w:r>
              <w:rPr>
                <w:rFonts w:hint="eastAsia" w:ascii="仿宋" w:hAnsi="仿宋" w:eastAsia="仿宋"/>
                <w:color w:val="auto"/>
                <w:szCs w:val="21"/>
              </w:rPr>
              <w:t>019244</w:t>
            </w:r>
          </w:p>
        </w:tc>
        <w:tc>
          <w:tcPr>
            <w:tcW w:w="2662" w:type="dxa"/>
            <w:gridSpan w:val="5"/>
            <w:noWrap/>
            <w:vAlign w:val="center"/>
          </w:tcPr>
          <w:p>
            <w:pPr>
              <w:widowControl/>
              <w:adjustRightInd w:val="0"/>
              <w:snapToGrid w:val="0"/>
              <w:jc w:val="center"/>
              <w:rPr>
                <w:rFonts w:ascii="仿宋" w:hAnsi="仿宋" w:eastAsia="仿宋" w:cs="宋体"/>
                <w:color w:val="auto"/>
                <w:kern w:val="0"/>
                <w:szCs w:val="21"/>
              </w:rPr>
            </w:pPr>
            <w:r>
              <w:rPr>
                <w:rFonts w:hint="eastAsia" w:ascii="仿宋_GB2312" w:hAnsi="宋体" w:eastAsia="仿宋_GB2312" w:cs="宋体"/>
                <w:color w:val="auto"/>
                <w:kern w:val="0"/>
                <w:sz w:val="24"/>
              </w:rPr>
              <w:t>0074157</w:t>
            </w:r>
          </w:p>
        </w:tc>
        <w:tc>
          <w:tcPr>
            <w:tcW w:w="1663" w:type="dxa"/>
            <w:noWrap/>
            <w:vAlign w:val="center"/>
          </w:tcPr>
          <w:p>
            <w:pPr>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390" w:type="dxa"/>
            <w:noWrap/>
            <w:vAlign w:val="center"/>
          </w:tcPr>
          <w:p>
            <w:pPr>
              <w:jc w:val="center"/>
              <w:rPr>
                <w:rFonts w:ascii="仿宋" w:hAnsi="仿宋" w:eastAsia="仿宋"/>
                <w:color w:val="auto"/>
                <w:szCs w:val="21"/>
              </w:rPr>
            </w:pPr>
            <w:r>
              <w:rPr>
                <w:rFonts w:hint="eastAsia" w:ascii="仿宋" w:hAnsi="仿宋" w:eastAsia="仿宋"/>
                <w:color w:val="auto"/>
                <w:szCs w:val="21"/>
              </w:rPr>
              <w:t>唐波</w:t>
            </w:r>
          </w:p>
        </w:tc>
        <w:tc>
          <w:tcPr>
            <w:tcW w:w="2174" w:type="dxa"/>
            <w:gridSpan w:val="2"/>
            <w:noWrap/>
            <w:vAlign w:val="center"/>
          </w:tcPr>
          <w:p>
            <w:pPr>
              <w:jc w:val="center"/>
              <w:rPr>
                <w:rFonts w:ascii="仿宋" w:hAnsi="仿宋" w:eastAsia="仿宋"/>
                <w:color w:val="auto"/>
                <w:szCs w:val="21"/>
              </w:rPr>
            </w:pPr>
            <w:r>
              <w:rPr>
                <w:rFonts w:hint="eastAsia" w:ascii="仿宋_GB2312" w:hAnsi="仿宋_GB2312" w:eastAsia="仿宋_GB2312" w:cs="仿宋_GB2312"/>
                <w:color w:val="auto"/>
                <w:sz w:val="24"/>
              </w:rPr>
              <w:t>机械、化工机械</w:t>
            </w:r>
          </w:p>
        </w:tc>
        <w:tc>
          <w:tcPr>
            <w:tcW w:w="2073" w:type="dxa"/>
            <w:gridSpan w:val="4"/>
            <w:noWrap/>
            <w:vAlign w:val="center"/>
          </w:tcPr>
          <w:p>
            <w:pPr>
              <w:jc w:val="center"/>
              <w:rPr>
                <w:rFonts w:ascii="仿宋" w:hAnsi="仿宋" w:eastAsia="仿宋"/>
                <w:color w:val="auto"/>
                <w:szCs w:val="21"/>
              </w:rPr>
            </w:pPr>
            <w:r>
              <w:rPr>
                <w:rFonts w:hint="eastAsia" w:ascii="仿宋_GB2312" w:hAnsi="仿宋_GB2312" w:eastAsia="仿宋_GB2312" w:cs="仿宋_GB2312"/>
                <w:color w:val="auto"/>
                <w:kern w:val="0"/>
                <w:sz w:val="24"/>
              </w:rPr>
              <w:t>035894</w:t>
            </w:r>
          </w:p>
        </w:tc>
        <w:tc>
          <w:tcPr>
            <w:tcW w:w="2662" w:type="dxa"/>
            <w:gridSpan w:val="5"/>
            <w:noWrap/>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w:t>
            </w:r>
          </w:p>
        </w:tc>
        <w:tc>
          <w:tcPr>
            <w:tcW w:w="1663" w:type="dxa"/>
            <w:noWrap/>
            <w:vAlign w:val="center"/>
          </w:tcPr>
          <w:p>
            <w:pPr>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390" w:type="dxa"/>
            <w:noWrap/>
            <w:vAlign w:val="center"/>
          </w:tcPr>
          <w:p>
            <w:pPr>
              <w:jc w:val="center"/>
              <w:rPr>
                <w:rFonts w:ascii="仿宋" w:hAnsi="仿宋" w:eastAsia="仿宋"/>
                <w:color w:val="auto"/>
                <w:szCs w:val="21"/>
              </w:rPr>
            </w:pPr>
            <w:r>
              <w:rPr>
                <w:rFonts w:hint="eastAsia" w:ascii="仿宋" w:hAnsi="仿宋" w:eastAsia="仿宋"/>
                <w:color w:val="auto"/>
                <w:szCs w:val="21"/>
              </w:rPr>
              <w:t>孟萌萌</w:t>
            </w:r>
          </w:p>
        </w:tc>
        <w:tc>
          <w:tcPr>
            <w:tcW w:w="2174" w:type="dxa"/>
            <w:gridSpan w:val="2"/>
            <w:noWrap/>
            <w:vAlign w:val="center"/>
          </w:tcPr>
          <w:p>
            <w:pPr>
              <w:ind w:firstLine="480" w:firstLineChars="200"/>
              <w:rPr>
                <w:rFonts w:ascii="仿宋" w:hAnsi="仿宋" w:eastAsia="仿宋"/>
                <w:color w:val="auto"/>
                <w:szCs w:val="21"/>
              </w:rPr>
            </w:pPr>
            <w:r>
              <w:rPr>
                <w:rFonts w:hint="eastAsia" w:ascii="仿宋_GB2312" w:hAnsi="仿宋_GB2312" w:eastAsia="仿宋_GB2312" w:cs="仿宋_GB2312"/>
                <w:color w:val="auto"/>
                <w:sz w:val="24"/>
              </w:rPr>
              <w:t>电气</w:t>
            </w:r>
          </w:p>
        </w:tc>
        <w:tc>
          <w:tcPr>
            <w:tcW w:w="2073" w:type="dxa"/>
            <w:gridSpan w:val="4"/>
            <w:noWrap/>
            <w:vAlign w:val="center"/>
          </w:tcPr>
          <w:p>
            <w:pPr>
              <w:jc w:val="center"/>
              <w:rPr>
                <w:rFonts w:ascii="仿宋" w:hAnsi="仿宋" w:eastAsia="仿宋"/>
                <w:color w:val="auto"/>
                <w:szCs w:val="21"/>
              </w:rPr>
            </w:pPr>
            <w:r>
              <w:rPr>
                <w:rFonts w:hint="eastAsia" w:ascii="仿宋_GB2312" w:hAnsi="仿宋_GB2312" w:eastAsia="仿宋_GB2312" w:cs="仿宋_GB2312"/>
                <w:color w:val="auto"/>
                <w:kern w:val="0"/>
                <w:sz w:val="24"/>
              </w:rPr>
              <w:t>019246</w:t>
            </w:r>
          </w:p>
        </w:tc>
        <w:tc>
          <w:tcPr>
            <w:tcW w:w="2662" w:type="dxa"/>
            <w:gridSpan w:val="5"/>
            <w:noWrap/>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w:t>
            </w:r>
          </w:p>
        </w:tc>
        <w:tc>
          <w:tcPr>
            <w:tcW w:w="1663" w:type="dxa"/>
            <w:noWrap/>
            <w:vAlign w:val="center"/>
          </w:tcPr>
          <w:p>
            <w:pPr>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390" w:type="dxa"/>
            <w:noWrap/>
            <w:vAlign w:val="center"/>
          </w:tcPr>
          <w:p>
            <w:pPr>
              <w:jc w:val="center"/>
              <w:rPr>
                <w:rFonts w:hint="eastAsia" w:ascii="仿宋" w:hAnsi="仿宋" w:eastAsia="仿宋"/>
                <w:color w:val="auto"/>
                <w:szCs w:val="21"/>
                <w:lang w:eastAsia="zh-CN"/>
              </w:rPr>
            </w:pPr>
            <w:r>
              <w:rPr>
                <w:rFonts w:hint="eastAsia" w:ascii="仿宋" w:hAnsi="仿宋" w:eastAsia="仿宋"/>
                <w:color w:val="auto"/>
                <w:szCs w:val="21"/>
                <w:lang w:eastAsia="zh-CN"/>
              </w:rPr>
              <w:t>高胡容</w:t>
            </w:r>
          </w:p>
        </w:tc>
        <w:tc>
          <w:tcPr>
            <w:tcW w:w="2174" w:type="dxa"/>
            <w:gridSpan w:val="2"/>
            <w:noWrap/>
            <w:vAlign w:val="center"/>
          </w:tcPr>
          <w:p>
            <w:pPr>
              <w:jc w:val="center"/>
              <w:rPr>
                <w:rFonts w:hint="eastAsia" w:ascii="仿宋" w:hAnsi="仿宋" w:eastAsia="仿宋"/>
                <w:color w:val="auto"/>
                <w:szCs w:val="21"/>
                <w:lang w:eastAsia="zh-CN"/>
              </w:rPr>
            </w:pPr>
            <w:r>
              <w:rPr>
                <w:rFonts w:hint="eastAsia" w:ascii="仿宋" w:hAnsi="仿宋" w:eastAsia="仿宋"/>
                <w:color w:val="auto"/>
                <w:szCs w:val="21"/>
                <w:lang w:eastAsia="zh-CN"/>
              </w:rPr>
              <w:t>安全</w:t>
            </w:r>
          </w:p>
        </w:tc>
        <w:tc>
          <w:tcPr>
            <w:tcW w:w="2073" w:type="dxa"/>
            <w:gridSpan w:val="4"/>
            <w:noWrap/>
            <w:vAlign w:val="center"/>
          </w:tcPr>
          <w:p>
            <w:pPr>
              <w:jc w:val="center"/>
              <w:rPr>
                <w:rFonts w:ascii="仿宋" w:hAnsi="仿宋" w:eastAsia="仿宋"/>
                <w:color w:val="auto"/>
                <w:szCs w:val="21"/>
              </w:rPr>
            </w:pPr>
            <w:r>
              <w:rPr>
                <w:rFonts w:hint="eastAsia" w:ascii="仿宋_GB2312" w:hAnsi="仿宋_GB2312" w:eastAsia="仿宋_GB2312" w:cs="仿宋_GB2312"/>
                <w:i w:val="0"/>
                <w:color w:val="auto"/>
                <w:kern w:val="0"/>
                <w:sz w:val="24"/>
                <w:szCs w:val="24"/>
                <w:u w:val="none"/>
                <w:lang w:val="en-US" w:eastAsia="zh-CN" w:bidi="ar"/>
              </w:rPr>
              <w:t>037978</w:t>
            </w:r>
          </w:p>
        </w:tc>
        <w:tc>
          <w:tcPr>
            <w:tcW w:w="2662" w:type="dxa"/>
            <w:gridSpan w:val="5"/>
            <w:noWrap/>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w:t>
            </w:r>
          </w:p>
        </w:tc>
        <w:tc>
          <w:tcPr>
            <w:tcW w:w="1663" w:type="dxa"/>
            <w:noWrap/>
            <w:vAlign w:val="center"/>
          </w:tcPr>
          <w:p>
            <w:pPr>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390" w:type="dxa"/>
            <w:noWrap/>
            <w:vAlign w:val="center"/>
          </w:tcPr>
          <w:p>
            <w:pPr>
              <w:jc w:val="center"/>
              <w:rPr>
                <w:rFonts w:ascii="仿宋" w:hAnsi="仿宋" w:eastAsia="仿宋"/>
                <w:color w:val="auto"/>
                <w:szCs w:val="21"/>
              </w:rPr>
            </w:pPr>
            <w:r>
              <w:rPr>
                <w:rFonts w:hint="eastAsia" w:ascii="仿宋" w:hAnsi="仿宋" w:eastAsia="仿宋"/>
                <w:color w:val="auto"/>
                <w:szCs w:val="21"/>
              </w:rPr>
              <w:t>李伟</w:t>
            </w:r>
          </w:p>
        </w:tc>
        <w:tc>
          <w:tcPr>
            <w:tcW w:w="2174" w:type="dxa"/>
            <w:gridSpan w:val="2"/>
            <w:noWrap/>
            <w:vAlign w:val="center"/>
          </w:tcPr>
          <w:p>
            <w:pPr>
              <w:jc w:val="center"/>
              <w:rPr>
                <w:rFonts w:ascii="仿宋" w:hAnsi="仿宋" w:eastAsia="仿宋"/>
                <w:color w:val="auto"/>
                <w:szCs w:val="21"/>
              </w:rPr>
            </w:pPr>
            <w:r>
              <w:rPr>
                <w:rFonts w:hint="eastAsia" w:ascii="仿宋" w:hAnsi="仿宋" w:eastAsia="仿宋"/>
                <w:color w:val="auto"/>
                <w:szCs w:val="21"/>
              </w:rPr>
              <w:t>安全</w:t>
            </w:r>
          </w:p>
        </w:tc>
        <w:tc>
          <w:tcPr>
            <w:tcW w:w="2073" w:type="dxa"/>
            <w:gridSpan w:val="4"/>
            <w:noWrap/>
            <w:vAlign w:val="center"/>
          </w:tcPr>
          <w:p>
            <w:pPr>
              <w:jc w:val="center"/>
              <w:rPr>
                <w:rFonts w:ascii="仿宋" w:hAnsi="仿宋" w:eastAsia="仿宋"/>
                <w:color w:val="auto"/>
                <w:szCs w:val="21"/>
              </w:rPr>
            </w:pPr>
            <w:r>
              <w:rPr>
                <w:rFonts w:hint="eastAsia" w:ascii="仿宋" w:hAnsi="仿宋" w:eastAsia="仿宋"/>
                <w:color w:val="auto"/>
                <w:szCs w:val="21"/>
              </w:rPr>
              <w:t>020783</w:t>
            </w:r>
          </w:p>
        </w:tc>
        <w:tc>
          <w:tcPr>
            <w:tcW w:w="2662" w:type="dxa"/>
            <w:gridSpan w:val="5"/>
            <w:noWrap/>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w:t>
            </w:r>
          </w:p>
        </w:tc>
        <w:tc>
          <w:tcPr>
            <w:tcW w:w="1663" w:type="dxa"/>
            <w:noWrap/>
            <w:vAlign w:val="center"/>
          </w:tcPr>
          <w:p>
            <w:pPr>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刘国勇</w:t>
            </w:r>
          </w:p>
        </w:tc>
        <w:tc>
          <w:tcPr>
            <w:tcW w:w="2174" w:type="dxa"/>
            <w:gridSpan w:val="2"/>
            <w:noWrap/>
            <w:vAlign w:val="center"/>
          </w:tcPr>
          <w:p>
            <w:pPr>
              <w:widowControl/>
              <w:jc w:val="center"/>
              <w:rPr>
                <w:rFonts w:ascii="仿宋_GB2312" w:hAnsi="宋体" w:eastAsia="仿宋_GB2312" w:cs="宋体"/>
                <w:color w:val="auto"/>
                <w:kern w:val="0"/>
                <w:sz w:val="24"/>
              </w:rPr>
            </w:pPr>
            <w:r>
              <w:rPr>
                <w:rFonts w:hint="eastAsia" w:ascii="仿宋_GB2312" w:hAnsi="宋体" w:eastAsia="仿宋_GB2312" w:cs="宋体"/>
                <w:color w:val="auto"/>
                <w:kern w:val="0"/>
                <w:sz w:val="24"/>
              </w:rPr>
              <w:t>化工工艺、安全</w:t>
            </w:r>
          </w:p>
        </w:tc>
        <w:tc>
          <w:tcPr>
            <w:tcW w:w="2073" w:type="dxa"/>
            <w:gridSpan w:val="4"/>
            <w:noWrap/>
            <w:vAlign w:val="center"/>
          </w:tcPr>
          <w:p>
            <w:pPr>
              <w:widowControl/>
              <w:jc w:val="center"/>
              <w:rPr>
                <w:rFonts w:ascii="仿宋_GB2312" w:hAnsi="宋体" w:eastAsia="仿宋_GB2312" w:cs="宋体"/>
                <w:color w:val="auto"/>
                <w:kern w:val="0"/>
                <w:sz w:val="24"/>
              </w:rPr>
            </w:pPr>
            <w:r>
              <w:rPr>
                <w:rFonts w:hint="eastAsia" w:ascii="仿宋_GB2312" w:hAnsi="宋体" w:eastAsia="仿宋_GB2312" w:cs="宋体"/>
                <w:color w:val="auto"/>
                <w:kern w:val="0"/>
                <w:sz w:val="24"/>
              </w:rPr>
              <w:t>019234</w:t>
            </w:r>
          </w:p>
        </w:tc>
        <w:tc>
          <w:tcPr>
            <w:tcW w:w="2662" w:type="dxa"/>
            <w:gridSpan w:val="5"/>
            <w:noWrap/>
            <w:vAlign w:val="center"/>
          </w:tcPr>
          <w:p>
            <w:pPr>
              <w:widowControl/>
              <w:jc w:val="center"/>
              <w:rPr>
                <w:rFonts w:ascii="仿宋_GB2312" w:hAnsi="宋体" w:eastAsia="仿宋_GB2312" w:cs="宋体"/>
                <w:color w:val="auto"/>
                <w:kern w:val="0"/>
                <w:sz w:val="24"/>
              </w:rPr>
            </w:pPr>
            <w:r>
              <w:rPr>
                <w:rFonts w:hint="eastAsia" w:ascii="仿宋_GB2312" w:hAnsi="宋体" w:eastAsia="仿宋_GB2312" w:cs="宋体"/>
                <w:color w:val="auto"/>
                <w:kern w:val="0"/>
                <w:sz w:val="24"/>
              </w:rPr>
              <w:t>0016637</w:t>
            </w:r>
          </w:p>
        </w:tc>
        <w:tc>
          <w:tcPr>
            <w:tcW w:w="1663" w:type="dxa"/>
            <w:noWrap/>
            <w:vAlign w:val="center"/>
          </w:tcPr>
          <w:p>
            <w:pPr>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ign w:val="center"/>
          </w:tcPr>
          <w:p>
            <w:pPr>
              <w:jc w:val="center"/>
              <w:rPr>
                <w:rFonts w:ascii="仿宋" w:hAnsi="仿宋" w:eastAsia="仿宋"/>
                <w:color w:val="auto"/>
                <w:szCs w:val="21"/>
              </w:rPr>
            </w:pPr>
            <w:r>
              <w:rPr>
                <w:rFonts w:hint="eastAsia" w:ascii="仿宋" w:hAnsi="仿宋" w:eastAsia="仿宋"/>
                <w:color w:val="auto"/>
                <w:szCs w:val="21"/>
              </w:rPr>
              <w:t>冯皓</w:t>
            </w:r>
          </w:p>
        </w:tc>
        <w:tc>
          <w:tcPr>
            <w:tcW w:w="2174" w:type="dxa"/>
            <w:gridSpan w:val="2"/>
            <w:noWrap/>
            <w:vAlign w:val="center"/>
          </w:tcPr>
          <w:p>
            <w:pPr>
              <w:ind w:firstLine="420" w:firstLineChars="200"/>
              <w:rPr>
                <w:rFonts w:ascii="仿宋" w:hAnsi="仿宋" w:eastAsia="仿宋"/>
                <w:color w:val="auto"/>
                <w:szCs w:val="21"/>
              </w:rPr>
            </w:pPr>
            <w:r>
              <w:rPr>
                <w:rFonts w:hint="eastAsia" w:ascii="仿宋" w:hAnsi="仿宋" w:eastAsia="仿宋"/>
                <w:color w:val="auto"/>
                <w:szCs w:val="21"/>
              </w:rPr>
              <w:t>化工机械</w:t>
            </w:r>
          </w:p>
        </w:tc>
        <w:tc>
          <w:tcPr>
            <w:tcW w:w="2073" w:type="dxa"/>
            <w:gridSpan w:val="4"/>
            <w:noWrap/>
            <w:vAlign w:val="center"/>
          </w:tcPr>
          <w:p>
            <w:pPr>
              <w:jc w:val="center"/>
              <w:rPr>
                <w:rFonts w:ascii="仿宋" w:hAnsi="仿宋" w:eastAsia="仿宋"/>
                <w:color w:val="auto"/>
                <w:szCs w:val="21"/>
              </w:rPr>
            </w:pPr>
            <w:r>
              <w:rPr>
                <w:rFonts w:hint="eastAsia" w:ascii="仿宋" w:hAnsi="仿宋" w:eastAsia="仿宋"/>
                <w:color w:val="auto"/>
                <w:szCs w:val="21"/>
              </w:rPr>
              <w:t>019237</w:t>
            </w:r>
          </w:p>
        </w:tc>
        <w:tc>
          <w:tcPr>
            <w:tcW w:w="2662" w:type="dxa"/>
            <w:gridSpan w:val="5"/>
            <w:noWrap/>
            <w:vAlign w:val="center"/>
          </w:tcPr>
          <w:p>
            <w:pPr>
              <w:widowControl/>
              <w:adjustRightInd w:val="0"/>
              <w:snapToGrid w:val="0"/>
              <w:jc w:val="center"/>
              <w:rPr>
                <w:rFonts w:ascii="仿宋" w:hAnsi="仿宋" w:eastAsia="仿宋" w:cs="宋体"/>
                <w:color w:val="auto"/>
                <w:kern w:val="0"/>
                <w:szCs w:val="21"/>
              </w:rPr>
            </w:pPr>
            <w:r>
              <w:rPr>
                <w:rFonts w:hint="eastAsia" w:ascii="仿宋_GB2312" w:hAnsi="宋体" w:eastAsia="仿宋_GB2312" w:cs="宋体"/>
                <w:color w:val="auto"/>
                <w:kern w:val="0"/>
                <w:sz w:val="24"/>
              </w:rPr>
              <w:t>0177668</w:t>
            </w:r>
          </w:p>
        </w:tc>
        <w:tc>
          <w:tcPr>
            <w:tcW w:w="1663" w:type="dxa"/>
            <w:noWrap/>
            <w:vAlign w:val="center"/>
          </w:tcPr>
          <w:p>
            <w:pPr>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90" w:type="dxa"/>
            <w:noWrap/>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蔡治勇</w:t>
            </w:r>
          </w:p>
        </w:tc>
        <w:tc>
          <w:tcPr>
            <w:tcW w:w="2174" w:type="dxa"/>
            <w:gridSpan w:val="2"/>
            <w:noWrap/>
            <w:vAlign w:val="center"/>
          </w:tcPr>
          <w:p>
            <w:pPr>
              <w:widowControl/>
              <w:jc w:val="center"/>
              <w:rPr>
                <w:rFonts w:ascii="仿宋_GB2312" w:hAnsi="宋体" w:eastAsia="仿宋_GB2312" w:cs="宋体"/>
                <w:color w:val="auto"/>
                <w:kern w:val="0"/>
                <w:sz w:val="24"/>
              </w:rPr>
            </w:pPr>
            <w:r>
              <w:rPr>
                <w:rFonts w:hint="eastAsia" w:ascii="仿宋_GB2312" w:eastAsia="仿宋_GB2312"/>
                <w:color w:val="auto"/>
                <w:kern w:val="0"/>
                <w:sz w:val="24"/>
              </w:rPr>
              <w:t>热能与动力；火工</w:t>
            </w:r>
          </w:p>
        </w:tc>
        <w:tc>
          <w:tcPr>
            <w:tcW w:w="2073" w:type="dxa"/>
            <w:gridSpan w:val="4"/>
            <w:noWrap/>
            <w:vAlign w:val="center"/>
          </w:tcPr>
          <w:p>
            <w:pPr>
              <w:widowControl/>
              <w:jc w:val="center"/>
              <w:rPr>
                <w:rFonts w:ascii="仿宋_GB2312" w:hAnsi="宋体" w:eastAsia="仿宋_GB2312" w:cs="宋体"/>
                <w:color w:val="auto"/>
                <w:kern w:val="0"/>
                <w:sz w:val="24"/>
              </w:rPr>
            </w:pPr>
            <w:r>
              <w:rPr>
                <w:rFonts w:hint="eastAsia" w:ascii="仿宋_GB2312" w:hAnsi="宋体" w:eastAsia="仿宋_GB2312" w:cs="宋体"/>
                <w:color w:val="auto"/>
                <w:kern w:val="0"/>
                <w:sz w:val="24"/>
              </w:rPr>
              <w:t>003832</w:t>
            </w:r>
          </w:p>
        </w:tc>
        <w:tc>
          <w:tcPr>
            <w:tcW w:w="2662" w:type="dxa"/>
            <w:gridSpan w:val="5"/>
            <w:noWrap/>
            <w:vAlign w:val="center"/>
          </w:tcPr>
          <w:p>
            <w:pPr>
              <w:widowControl/>
              <w:adjustRightInd w:val="0"/>
              <w:snapToGrid w:val="0"/>
              <w:jc w:val="center"/>
              <w:rPr>
                <w:rFonts w:ascii="仿宋" w:hAnsi="仿宋" w:eastAsia="仿宋" w:cs="宋体"/>
                <w:color w:val="auto"/>
                <w:kern w:val="0"/>
                <w:szCs w:val="21"/>
              </w:rPr>
            </w:pPr>
            <w:r>
              <w:rPr>
                <w:rFonts w:hint="eastAsia" w:ascii="仿宋_GB2312" w:hAnsi="宋体" w:eastAsia="仿宋_GB2312" w:cs="宋体"/>
                <w:color w:val="auto"/>
                <w:kern w:val="0"/>
                <w:sz w:val="24"/>
              </w:rPr>
              <w:t>0074134</w:t>
            </w:r>
          </w:p>
        </w:tc>
        <w:tc>
          <w:tcPr>
            <w:tcW w:w="1663" w:type="dxa"/>
            <w:noWrap/>
            <w:vAlign w:val="center"/>
          </w:tcPr>
          <w:p>
            <w:pPr>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2"/>
            <w:noWrap/>
            <w:vAlign w:val="center"/>
          </w:tcPr>
          <w:p>
            <w:pPr>
              <w:pStyle w:val="3"/>
              <w:rPr>
                <w:rFonts w:hint="eastAsia" w:eastAsia="宋体"/>
                <w:color w:val="auto"/>
              </w:rPr>
            </w:pPr>
            <w:bookmarkStart w:id="1" w:name="_Toc10077"/>
            <w:bookmarkStart w:id="2" w:name="_Toc11847"/>
            <w:bookmarkStart w:id="3" w:name="_Toc15596"/>
            <w:r>
              <w:rPr>
                <w:rFonts w:hint="eastAsia" w:eastAsia="宋体"/>
                <w:color w:val="auto"/>
              </w:rPr>
              <w:t>迪安汽车部件（天津）有限公司重庆分公司（以下简称：迪安重庆分公司）于2020年10月12日注册成立，位于重庆市永川凤凰湖工业园区凤凰三路69号，占地面积300m2，员工</w:t>
            </w:r>
            <w:r>
              <w:rPr>
                <w:rFonts w:hint="eastAsia" w:eastAsia="宋体"/>
                <w:color w:val="auto"/>
                <w:lang w:val="en-US" w:eastAsia="zh-CN"/>
              </w:rPr>
              <w:t>10</w:t>
            </w:r>
            <w:r>
              <w:rPr>
                <w:rFonts w:hint="eastAsia" w:eastAsia="宋体"/>
                <w:color w:val="auto"/>
              </w:rPr>
              <w:t>人。主要业务范围：汽车零部件研发、汽车零部件及配件制造、汽车零配件批发、汽车零配件零售、气体、液体分离及纯净设备制造，通用设备制造（不含特种设备制造），机械零件、零部件加工、气体、液体分离及纯净设备销售、普通货物仓储服务（不含危险化学品等需许可审批的项目）、技术服务、技术开发、技术咨询、技术交流、技术转让、技术推广、信息技术咨询服务、机械设备销售、特种设备销售（除依法须经批准的项目外，凭营业执照依法自主开展经营活动）。</w:t>
            </w:r>
            <w:bookmarkEnd w:id="1"/>
            <w:bookmarkEnd w:id="2"/>
            <w:bookmarkEnd w:id="3"/>
            <w:r>
              <w:rPr>
                <w:rFonts w:hint="eastAsia" w:eastAsia="宋体"/>
                <w:color w:val="auto"/>
              </w:rPr>
              <w:t>迪安重庆分公司为了更好的服务客户，提供更优质的产品，降低生产成本，保证供货需求，拟在凤凰园区建设一条油箱总成装配线，年产16万台，主要客户为重庆长城，全系承接长城炮，坦克300等车型燃油箱。拟建项目于2020年10月22日取得永川区发展和改革委核发的《重庆市企业投资项目备案证》（项目编码2020-500118-36-03-152344）。拟建项目位于重庆永川工业园区凤凰湖工业园凤凰三路69号的2号车间，</w:t>
            </w:r>
            <w:r>
              <w:rPr>
                <w:rFonts w:hint="eastAsia" w:eastAsia="宋体"/>
                <w:color w:val="auto"/>
                <w:lang w:val="en-US" w:eastAsia="zh-CN"/>
              </w:rPr>
              <w:t>拟</w:t>
            </w:r>
            <w:r>
              <w:rPr>
                <w:rFonts w:hint="eastAsia" w:eastAsia="宋体"/>
                <w:color w:val="auto"/>
              </w:rPr>
              <w:t>建设内容及规模：</w:t>
            </w:r>
            <w:bookmarkStart w:id="4" w:name="_Hlk60421894"/>
            <w:r>
              <w:rPr>
                <w:rFonts w:hint="eastAsia" w:eastAsia="宋体"/>
                <w:color w:val="auto"/>
              </w:rPr>
              <w:t>建设一条油箱总成装配线</w:t>
            </w:r>
            <w:bookmarkEnd w:id="4"/>
            <w:r>
              <w:rPr>
                <w:rFonts w:hint="eastAsia" w:eastAsia="宋体"/>
                <w:color w:val="auto"/>
              </w:rPr>
              <w:t>；年产P3011 CN5油箱总成8万件、P3011 CN6油箱总成8万件。</w:t>
            </w:r>
          </w:p>
          <w:p>
            <w:pPr>
              <w:pStyle w:val="3"/>
              <w:rPr>
                <w:rFonts w:hint="eastAsia"/>
                <w:color w:val="auto"/>
              </w:rPr>
            </w:pPr>
            <w:r>
              <w:rPr>
                <w:rFonts w:hint="eastAsia" w:eastAsia="宋体"/>
                <w:color w:val="auto"/>
              </w:rPr>
              <w:t>重庆永川工业园区凤凰湖工业园凤凰三路69号2号车间为重庆易升</w:t>
            </w:r>
            <w:r>
              <w:rPr>
                <w:rFonts w:hint="eastAsia"/>
                <w:color w:val="auto"/>
              </w:rPr>
              <w:t>电梯配件有限公司修建的厂房，该厂房由重庆天时佳物流有限公司从重庆易升电梯配件有限公司承租后，将其中的东北侧（300m</w:t>
            </w:r>
            <w:r>
              <w:rPr>
                <w:rFonts w:hint="eastAsia"/>
                <w:color w:val="auto"/>
                <w:vertAlign w:val="superscript"/>
              </w:rPr>
              <w:t>2</w:t>
            </w:r>
            <w:r>
              <w:rPr>
                <w:rFonts w:hint="eastAsia"/>
                <w:color w:val="auto"/>
              </w:rPr>
              <w:t>）转租给迪安重庆分公司</w:t>
            </w:r>
            <w:r>
              <w:rPr>
                <w:rFonts w:hint="eastAsia"/>
                <w:color w:val="auto"/>
                <w:lang w:val="en-US" w:eastAsia="zh-CN"/>
              </w:rPr>
              <w:t>用于本项目建设</w:t>
            </w:r>
            <w:r>
              <w:rPr>
                <w:rFonts w:hint="eastAsia"/>
                <w:color w:val="auto"/>
              </w:rPr>
              <w:t>。</w:t>
            </w:r>
          </w:p>
          <w:p>
            <w:pPr>
              <w:pStyle w:val="3"/>
              <w:rPr>
                <w:rFonts w:hint="eastAsia" w:eastAsiaTheme="minorEastAsia"/>
                <w:color w:val="auto"/>
                <w:lang w:eastAsia="zh-CN"/>
              </w:rPr>
            </w:pPr>
            <w:r>
              <w:rPr>
                <w:rFonts w:hint="eastAsia" w:eastAsiaTheme="minorEastAsia"/>
                <w:color w:val="auto"/>
                <w:lang w:eastAsia="zh-CN"/>
              </w:rPr>
              <w:drawing>
                <wp:inline distT="0" distB="0" distL="114300" distR="114300">
                  <wp:extent cx="3678555" cy="4904740"/>
                  <wp:effectExtent l="0" t="0" r="17145" b="10160"/>
                  <wp:docPr id="1" name="图片 1" descr="微信图片_20210104211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10104211610"/>
                          <pic:cNvPicPr>
                            <a:picLocks noChangeAspect="1"/>
                          </pic:cNvPicPr>
                        </pic:nvPicPr>
                        <pic:blipFill>
                          <a:blip r:embed="rId4"/>
                          <a:stretch>
                            <a:fillRect/>
                          </a:stretch>
                        </pic:blipFill>
                        <pic:spPr>
                          <a:xfrm>
                            <a:off x="0" y="0"/>
                            <a:ext cx="3678555" cy="4904740"/>
                          </a:xfrm>
                          <a:prstGeom prst="rect">
                            <a:avLst/>
                          </a:prstGeom>
                        </pic:spPr>
                      </pic:pic>
                    </a:graphicData>
                  </a:graphic>
                </wp:inline>
              </w:drawing>
            </w:r>
          </w:p>
          <w:p>
            <w:pPr>
              <w:adjustRightInd w:val="0"/>
              <w:snapToGrid w:val="0"/>
              <w:ind w:firstLine="420" w:firstLineChars="20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2174" w:type="dxa"/>
            <w:gridSpan w:val="2"/>
            <w:noWrap/>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034" w:type="dxa"/>
            <w:gridSpan w:val="3"/>
            <w:noWrap/>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ign w:val="center"/>
          </w:tcPr>
          <w:p>
            <w:pPr>
              <w:spacing w:line="500" w:lineRule="exact"/>
              <w:jc w:val="center"/>
              <w:rPr>
                <w:rFonts w:ascii="仿宋" w:hAnsi="仿宋" w:eastAsia="仿宋"/>
                <w:color w:val="auto"/>
                <w:szCs w:val="21"/>
              </w:rPr>
            </w:pPr>
          </w:p>
        </w:tc>
        <w:tc>
          <w:tcPr>
            <w:tcW w:w="2174" w:type="dxa"/>
            <w:gridSpan w:val="2"/>
            <w:noWrap/>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王梅</w:t>
            </w:r>
          </w:p>
        </w:tc>
        <w:tc>
          <w:tcPr>
            <w:tcW w:w="2034" w:type="dxa"/>
            <w:gridSpan w:val="3"/>
            <w:noWrap/>
            <w:vAlign w:val="center"/>
          </w:tcPr>
          <w:p>
            <w:pPr>
              <w:spacing w:line="3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2020.12</w:t>
            </w:r>
          </w:p>
        </w:tc>
        <w:tc>
          <w:tcPr>
            <w:tcW w:w="1226" w:type="dxa"/>
            <w:gridSpan w:val="2"/>
            <w:noWrap/>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w:t>
            </w:r>
          </w:p>
        </w:tc>
        <w:tc>
          <w:tcPr>
            <w:tcW w:w="3138" w:type="dxa"/>
            <w:gridSpan w:val="5"/>
            <w:noWrap/>
            <w:vAlign w:val="center"/>
          </w:tcPr>
          <w:p>
            <w:pPr>
              <w:adjustRightInd w:val="0"/>
              <w:snapToGrid w:val="0"/>
              <w:ind w:firstLine="420" w:firstLineChars="200"/>
              <w:rPr>
                <w:rFonts w:eastAsia="宋体" w:cs="Calibri"/>
                <w:color w:val="auto"/>
                <w:sz w:val="21"/>
                <w:szCs w:val="21"/>
              </w:rPr>
            </w:pPr>
            <w:r>
              <w:rPr>
                <w:rFonts w:hint="eastAsia" w:eastAsia="宋体" w:cs="Calibri"/>
                <w:color w:val="auto"/>
                <w:sz w:val="21"/>
                <w:szCs w:val="21"/>
              </w:rPr>
              <w:t>废硫酸进料口管道</w:t>
            </w:r>
            <w:r>
              <w:rPr>
                <w:rFonts w:hint="eastAsia" w:eastAsia="宋体" w:cs="Calibri"/>
                <w:color w:val="auto"/>
                <w:sz w:val="21"/>
                <w:szCs w:val="21"/>
                <w:lang w:eastAsia="zh-CN"/>
              </w:rPr>
              <w:t>法兰</w:t>
            </w:r>
            <w:r>
              <w:rPr>
                <w:rFonts w:hint="eastAsia" w:eastAsia="宋体" w:cs="Calibri"/>
                <w:color w:val="auto"/>
                <w:sz w:val="21"/>
                <w:szCs w:val="21"/>
              </w:rPr>
              <w:t>未加防喷溅措施。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ign w:val="center"/>
          </w:tcPr>
          <w:p>
            <w:pPr>
              <w:spacing w:line="500" w:lineRule="exact"/>
              <w:jc w:val="center"/>
              <w:rPr>
                <w:rFonts w:ascii="仿宋" w:hAnsi="仿宋" w:eastAsia="仿宋"/>
                <w:b/>
                <w:color w:val="auto"/>
                <w:szCs w:val="21"/>
              </w:rPr>
            </w:pPr>
          </w:p>
        </w:tc>
        <w:tc>
          <w:tcPr>
            <w:tcW w:w="2174" w:type="dxa"/>
            <w:gridSpan w:val="2"/>
            <w:noWrap/>
            <w:vAlign w:val="center"/>
          </w:tcPr>
          <w:p>
            <w:pPr>
              <w:spacing w:line="300" w:lineRule="exact"/>
              <w:jc w:val="center"/>
              <w:rPr>
                <w:rFonts w:hint="eastAsia" w:ascii="仿宋" w:hAnsi="仿宋" w:eastAsia="仿宋"/>
                <w:color w:val="auto"/>
                <w:szCs w:val="21"/>
                <w:lang w:eastAsia="zh-CN"/>
              </w:rPr>
            </w:pPr>
          </w:p>
        </w:tc>
        <w:tc>
          <w:tcPr>
            <w:tcW w:w="2034" w:type="dxa"/>
            <w:gridSpan w:val="3"/>
            <w:noWrap/>
            <w:vAlign w:val="center"/>
          </w:tcPr>
          <w:p>
            <w:pPr>
              <w:spacing w:line="300" w:lineRule="exact"/>
              <w:jc w:val="center"/>
              <w:rPr>
                <w:rFonts w:ascii="仿宋" w:hAnsi="仿宋" w:eastAsia="仿宋"/>
                <w:color w:val="auto"/>
                <w:szCs w:val="21"/>
              </w:rPr>
            </w:pPr>
          </w:p>
        </w:tc>
        <w:tc>
          <w:tcPr>
            <w:tcW w:w="1226" w:type="dxa"/>
            <w:gridSpan w:val="2"/>
            <w:noWrap/>
            <w:vAlign w:val="center"/>
          </w:tcPr>
          <w:p>
            <w:pPr>
              <w:spacing w:line="300" w:lineRule="exact"/>
              <w:jc w:val="center"/>
              <w:rPr>
                <w:rFonts w:ascii="仿宋" w:hAnsi="仿宋" w:eastAsia="仿宋"/>
                <w:color w:val="auto"/>
                <w:szCs w:val="21"/>
              </w:rPr>
            </w:pPr>
          </w:p>
        </w:tc>
        <w:tc>
          <w:tcPr>
            <w:tcW w:w="3138" w:type="dxa"/>
            <w:gridSpan w:val="5"/>
            <w:noWrap/>
            <w:vAlign w:val="center"/>
          </w:tcPr>
          <w:p>
            <w:pPr>
              <w:adjustRightInd w:val="0"/>
              <w:snapToGrid w:val="0"/>
              <w:ind w:firstLine="420" w:firstLineChars="200"/>
              <w:rPr>
                <w:rFonts w:eastAsia="宋体" w:cs="Calibri"/>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ign w:val="center"/>
          </w:tcPr>
          <w:p>
            <w:pPr>
              <w:spacing w:line="500" w:lineRule="exact"/>
              <w:jc w:val="center"/>
              <w:rPr>
                <w:rFonts w:ascii="仿宋" w:hAnsi="仿宋" w:eastAsia="仿宋"/>
                <w:b/>
                <w:color w:val="auto"/>
                <w:szCs w:val="21"/>
              </w:rPr>
            </w:pPr>
          </w:p>
        </w:tc>
        <w:tc>
          <w:tcPr>
            <w:tcW w:w="2174" w:type="dxa"/>
            <w:gridSpan w:val="2"/>
            <w:noWrap/>
            <w:vAlign w:val="center"/>
          </w:tcPr>
          <w:p>
            <w:pPr>
              <w:spacing w:line="300" w:lineRule="exact"/>
              <w:jc w:val="center"/>
              <w:rPr>
                <w:rFonts w:ascii="仿宋" w:hAnsi="仿宋" w:eastAsia="仿宋"/>
                <w:b/>
                <w:color w:val="auto"/>
                <w:szCs w:val="21"/>
              </w:rPr>
            </w:pPr>
          </w:p>
        </w:tc>
        <w:tc>
          <w:tcPr>
            <w:tcW w:w="2034" w:type="dxa"/>
            <w:gridSpan w:val="3"/>
            <w:noWrap/>
            <w:vAlign w:val="center"/>
          </w:tcPr>
          <w:p>
            <w:pPr>
              <w:spacing w:line="300" w:lineRule="exact"/>
              <w:jc w:val="center"/>
              <w:rPr>
                <w:rFonts w:ascii="仿宋" w:hAnsi="仿宋" w:eastAsia="仿宋"/>
                <w:b/>
                <w:color w:val="auto"/>
                <w:szCs w:val="21"/>
              </w:rPr>
            </w:pPr>
          </w:p>
        </w:tc>
        <w:tc>
          <w:tcPr>
            <w:tcW w:w="1226" w:type="dxa"/>
            <w:gridSpan w:val="2"/>
            <w:noWrap/>
            <w:vAlign w:val="center"/>
          </w:tcPr>
          <w:p>
            <w:pPr>
              <w:spacing w:line="300" w:lineRule="exact"/>
              <w:jc w:val="center"/>
              <w:rPr>
                <w:rFonts w:ascii="仿宋" w:hAnsi="仿宋" w:eastAsia="仿宋"/>
                <w:b/>
                <w:color w:val="auto"/>
                <w:szCs w:val="21"/>
              </w:rPr>
            </w:pPr>
          </w:p>
        </w:tc>
        <w:tc>
          <w:tcPr>
            <w:tcW w:w="3138" w:type="dxa"/>
            <w:gridSpan w:val="5"/>
            <w:noWrap/>
            <w:vAlign w:val="center"/>
          </w:tcPr>
          <w:p>
            <w:pPr>
              <w:adjustRightInd w:val="0"/>
              <w:snapToGrid w:val="0"/>
              <w:ind w:firstLine="420" w:firstLineChars="200"/>
              <w:rPr>
                <w:rFonts w:eastAsia="宋体" w:cs="Calibri"/>
                <w:color w:val="auto"/>
                <w:sz w:val="21"/>
                <w:szCs w:val="21"/>
              </w:rPr>
            </w:pPr>
          </w:p>
        </w:tc>
      </w:tr>
    </w:tbl>
    <w:p>
      <w:bookmarkStart w:id="5" w:name="_GoBack"/>
      <w:bookmarkEnd w:id="5"/>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535B30"/>
    <w:rsid w:val="18535B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adjustRightInd w:val="0"/>
      <w:spacing w:line="360" w:lineRule="atLeast"/>
      <w:ind w:firstLine="420"/>
      <w:jc w:val="left"/>
      <w:textAlignment w:val="baseline"/>
    </w:pPr>
    <w:rPr>
      <w:rFonts w:ascii="Times New Roman" w:hAnsi="Times New Roman"/>
      <w:kern w:val="0"/>
      <w:sz w:val="24"/>
      <w:szCs w:val="20"/>
    </w:rPr>
  </w:style>
  <w:style w:type="paragraph" w:styleId="3">
    <w:name w:val="annotation text"/>
    <w:basedOn w:val="1"/>
    <w:semiHidden/>
    <w:qFormat/>
    <w:uiPriority w:val="0"/>
    <w:pPr>
      <w:jc w:val="left"/>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2021-03-17T03:05:00Z</dcterms:created>
  <dc:creator>Neuropathy.</dc:creator>
  <cp:lastModifiedBy>Neuropathy.</cp:lastModifiedBy>
  <dcterms:modified xsi:type="dcterms:W3CDTF">2021-03-17T03:05:31Z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