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26"/>
        <w:gridCol w:w="623"/>
        <w:gridCol w:w="560"/>
        <w:gridCol w:w="601"/>
        <w:gridCol w:w="43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重庆华歌生物化学有限公司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Cs/>
                <w:color w:val="000000"/>
                <w:szCs w:val="21"/>
              </w:rPr>
              <w:t>3万吨/年副产硫磺、废盐等资源无害化再生项目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预评价 □现状评价   □ 验收评价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9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王梅、高胡容</w:t>
            </w:r>
          </w:p>
        </w:tc>
        <w:tc>
          <w:tcPr>
            <w:tcW w:w="29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2021.02</w:t>
            </w:r>
          </w:p>
        </w:tc>
        <w:tc>
          <w:tcPr>
            <w:tcW w:w="131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1800000000100099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S011053000110192002987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电气、自动化（仪表）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S011053000110192002940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/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3511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18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拟建项目占地约4000㎡，建成闪蒸、精制、综合利用等主要装置，对副产硫磺、废盐等资源进行无害化处理并再生利用，形成3万吨/年的处理能力。</w:t>
            </w:r>
          </w:p>
          <w:p>
            <w:pPr>
              <w:pStyle w:val="2"/>
              <w:rPr>
                <w:rFonts w:hint="eastAsia" w:eastAsia="楷体_GB2312"/>
                <w:lang w:eastAsia="zh-CN"/>
              </w:rPr>
            </w:pPr>
            <w:r>
              <w:rPr>
                <w:rFonts w:hint="eastAsia" w:eastAsia="楷体_GB2312"/>
                <w:lang w:eastAsia="zh-CN"/>
              </w:rPr>
              <w:drawing>
                <wp:inline distT="0" distB="0" distL="114300" distR="114300">
                  <wp:extent cx="5299710" cy="3975100"/>
                  <wp:effectExtent l="0" t="0" r="15240" b="6350"/>
                  <wp:docPr id="1" name="图片 1" descr="IMG_5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2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710" cy="397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勘验人员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勘验时间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勘验任务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王梅、高胡容</w:t>
            </w: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2020.11.11</w:t>
            </w: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签订合同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727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编制报告</w:t>
            </w:r>
          </w:p>
        </w:tc>
        <w:tc>
          <w:tcPr>
            <w:tcW w:w="4076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A1C93"/>
    <w:rsid w:val="670A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/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b/>
      <w:kern w:val="0"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2021-03-17T06:33:00Z</dcterms:created>
  <dc:creator>Neuropathy.</dc:creator>
  <cp:lastModifiedBy>Neuropathy.</cp:lastModifiedBy>
  <dcterms:modified xsi:type="dcterms:W3CDTF">2021-03-17T06:33:27Z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