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 w:eastAsia="宋体" w:cs="Times New Roman"/>
          <w:b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重庆市黔江区富贤矿业有限责任公司正伟采石场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重庆市黔江区富贤矿业有限责任公司正伟采石场（改建）安全设施验收评价报告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 w:val="0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重庆市黔江区富贤矿业有限责任公司，类型为有限责任公司，法定代表人：马建军，其下属正伟采石场位于黔江区石家镇，为地下开采，根据采矿许可证，开采矿种为建筑石料用灰岩，生产规模为200kt/a，开采标高：+813m～+800m，矿区面积：0.077km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2725" cy="6434455"/>
                  <wp:effectExtent l="0" t="0" r="3175" b="4445"/>
                  <wp:docPr id="1" name="图片 1" descr="C:/Users/Administrator/AppData/Local/Temp/picturecompress_20211227153638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1227153638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0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6434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widowControl w:val="0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  <w:t>2021年12月22日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94883"/>
    <w:rsid w:val="5279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420"/>
      <w:jc w:val="left"/>
    </w:pPr>
    <w:rPr>
      <w:rFonts w:ascii="Times New Roman" w:hAnsi="Times New Roman"/>
      <w:i/>
      <w:iCs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2022-01-05T02:37:00Z</dcterms:created>
  <dc:creator>雷楠</dc:creator>
  <cp:lastModifiedBy>雷楠</cp:lastModifiedBy>
  <dcterms:modified xsi:type="dcterms:W3CDTF">2022-01-05T02:37:51Z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ACCE3BE3C6DC4788BA724AD524D261A9</vt:lpwstr>
  </property>
</Properties>
</file>