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甘肃鑫彩电子商务有限责任公司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甘肃鑫彩电子商务有限责任公司临洮县漫洼乡加油站建设项目安全设施竣工验收评价报告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ascii="Segoe UI Symbol" w:hAnsi="Segoe UI Symbol" w:eastAsia="仿宋" w:cs="Segoe UI Symbol"/>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r>
              <w:rPr>
                <w:rFonts w:hint="eastAsia" w:ascii="仿宋" w:hAnsi="仿宋" w:eastAsia="仿宋"/>
                <w:szCs w:val="21"/>
                <w:lang w:eastAsia="zh-CN"/>
              </w:rPr>
              <w:t>、</w:t>
            </w:r>
            <w:r>
              <w:rPr>
                <w:rFonts w:hint="eastAsia" w:ascii="仿宋" w:hAnsi="仿宋" w:eastAsia="仿宋"/>
                <w:szCs w:val="21"/>
              </w:rPr>
              <w:t>白建明</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  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jc w:val="center"/>
              <w:textAlignment w:val="center"/>
              <w:rPr>
                <w:rFonts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S011053000110193002272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安全、化工工艺</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S011053000110202001767</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1700000000201153</w:t>
            </w:r>
          </w:p>
        </w:tc>
        <w:tc>
          <w:tcPr>
            <w:tcW w:w="2662"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szCs w:val="21"/>
                <w:lang w:bidi="ar"/>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熊任君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化工工艺、安全</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0800000000304234</w:t>
            </w:r>
          </w:p>
        </w:tc>
        <w:tc>
          <w:tcPr>
            <w:tcW w:w="2662"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55070030074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jc w:val="center"/>
              <w:textAlignment w:val="center"/>
              <w:rPr>
                <w:rFonts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S011041000110192002238</w:t>
            </w:r>
          </w:p>
        </w:tc>
        <w:tc>
          <w:tcPr>
            <w:tcW w:w="2662"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  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机械、安全</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kern w:val="0"/>
                <w:szCs w:val="21"/>
                <w:lang w:bidi="ar"/>
              </w:rPr>
              <w:t>1800000000201223</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1100000000301652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S011053000110201000802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甘肃鑫彩电子商务有限责任公司临洮县漫洼乡加油站站址位于临洮县漫洼乡老地沟村。现该站储油规模为两具50m</w:t>
            </w:r>
            <w:r>
              <w:rPr>
                <w:rFonts w:hint="eastAsia" w:ascii="仿宋" w:hAnsi="仿宋" w:eastAsia="仿宋" w:cs="宋体"/>
                <w:bCs/>
                <w:szCs w:val="21"/>
                <w:vertAlign w:val="superscript"/>
              </w:rPr>
              <w:t>3</w:t>
            </w:r>
            <w:r>
              <w:rPr>
                <w:rFonts w:hint="eastAsia" w:ascii="仿宋" w:hAnsi="仿宋" w:eastAsia="仿宋" w:cs="宋体"/>
                <w:bCs/>
                <w:szCs w:val="21"/>
              </w:rPr>
              <w:t>汽油罐、两具50m</w:t>
            </w:r>
            <w:r>
              <w:rPr>
                <w:rFonts w:hint="eastAsia" w:ascii="仿宋" w:hAnsi="仿宋" w:eastAsia="仿宋" w:cs="宋体"/>
                <w:bCs/>
                <w:szCs w:val="21"/>
                <w:vertAlign w:val="superscript"/>
              </w:rPr>
              <w:t>3</w:t>
            </w:r>
            <w:r>
              <w:rPr>
                <w:rFonts w:hint="eastAsia" w:ascii="仿宋" w:hAnsi="仿宋" w:eastAsia="仿宋" w:cs="宋体"/>
                <w:bCs/>
                <w:szCs w:val="21"/>
              </w:rPr>
              <w:t>柴油罐，总储油规模为150m</w:t>
            </w:r>
            <w:r>
              <w:rPr>
                <w:rFonts w:hint="eastAsia" w:ascii="仿宋" w:hAnsi="仿宋" w:eastAsia="仿宋" w:cs="宋体"/>
                <w:bCs/>
                <w:szCs w:val="21"/>
                <w:vertAlign w:val="superscript"/>
              </w:rPr>
              <w:t>3</w:t>
            </w:r>
            <w:r>
              <w:rPr>
                <w:rFonts w:hint="eastAsia" w:ascii="仿宋" w:hAnsi="仿宋" w:eastAsia="仿宋" w:cs="宋体"/>
                <w:bCs/>
                <w:szCs w:val="21"/>
              </w:rPr>
              <w:t>（柴油罐容积折半计算），属二级加油站。</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2399665" cy="1799590"/>
                  <wp:effectExtent l="0" t="0" r="635" b="10160"/>
                  <wp:docPr id="3" name="图片 1" descr="G:\2121.1.5漫洼加油站\2022.1.6甘肃鑫彩电子商务有限责任公司临洮县漫洼乡加油站建设项目安全验收评价报告\6.现场照片\微信图片_2021040915205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G:\2121.1.5漫洼加油站\2022.1.6甘肃鑫彩电子商务有限责任公司临洮县漫洼乡加油站建设项目安全验收评价报告\6.现场照片\微信图片_2021040915205512.jpg"/>
                          <pic:cNvPicPr>
                            <a:picLocks noChangeAspect="1" noChangeArrowheads="1"/>
                          </pic:cNvPicPr>
                        </pic:nvPicPr>
                        <pic:blipFill>
                          <a:blip r:embed="rId4" cstate="print"/>
                          <a:srcRect/>
                          <a:stretch>
                            <a:fillRect/>
                          </a:stretch>
                        </pic:blipFill>
                        <pic:spPr>
                          <a:xfrm>
                            <a:off x="0" y="0"/>
                            <a:ext cx="2400266"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白建明、赵长军</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4</w:t>
            </w:r>
            <w:r>
              <w:rPr>
                <w:rFonts w:ascii="仿宋" w:hAnsi="仿宋" w:eastAsia="仿宋"/>
                <w:szCs w:val="21"/>
              </w:rPr>
              <w:t>.</w:t>
            </w:r>
            <w:r>
              <w:rPr>
                <w:rFonts w:hint="eastAsia" w:ascii="仿宋" w:hAnsi="仿宋" w:eastAsia="仿宋"/>
                <w:szCs w:val="21"/>
              </w:rPr>
              <w:t>8</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1）油罐区静电接地检测点未编号；</w:t>
            </w:r>
          </w:p>
          <w:p>
            <w:pPr>
              <w:spacing w:line="300" w:lineRule="exact"/>
              <w:rPr>
                <w:rFonts w:ascii="仿宋" w:hAnsi="仿宋" w:eastAsia="仿宋"/>
                <w:szCs w:val="21"/>
              </w:rPr>
            </w:pPr>
            <w:r>
              <w:rPr>
                <w:rFonts w:hint="eastAsia" w:ascii="仿宋" w:hAnsi="仿宋" w:eastAsia="仿宋"/>
                <w:szCs w:val="21"/>
              </w:rPr>
              <w:t>2）加油机罩棚处未设置应急照明灯；</w:t>
            </w:r>
          </w:p>
          <w:p>
            <w:pPr>
              <w:spacing w:line="300" w:lineRule="exact"/>
              <w:rPr>
                <w:rFonts w:ascii="仿宋" w:hAnsi="仿宋" w:eastAsia="仿宋"/>
                <w:szCs w:val="21"/>
              </w:rPr>
            </w:pPr>
            <w:r>
              <w:rPr>
                <w:rFonts w:hint="eastAsia" w:ascii="仿宋" w:hAnsi="仿宋" w:eastAsia="仿宋"/>
                <w:szCs w:val="21"/>
              </w:rPr>
              <w:t>3）发电机的排烟管口未安装阻火器；</w:t>
            </w:r>
          </w:p>
          <w:p>
            <w:pPr>
              <w:spacing w:line="300" w:lineRule="exact"/>
              <w:rPr>
                <w:rFonts w:ascii="仿宋" w:hAnsi="仿宋" w:eastAsia="仿宋"/>
                <w:szCs w:val="21"/>
              </w:rPr>
            </w:pPr>
            <w:r>
              <w:rPr>
                <w:rFonts w:hint="eastAsia" w:ascii="仿宋" w:hAnsi="仿宋" w:eastAsia="仿宋"/>
                <w:szCs w:val="21"/>
              </w:rPr>
              <w:t>4）配电箱底部电缆沟未充沙填实；</w:t>
            </w:r>
          </w:p>
          <w:p>
            <w:pPr>
              <w:spacing w:line="300" w:lineRule="exact"/>
              <w:rPr>
                <w:rFonts w:ascii="仿宋" w:hAnsi="仿宋" w:eastAsia="仿宋"/>
                <w:szCs w:val="21"/>
              </w:rPr>
            </w:pPr>
            <w:r>
              <w:rPr>
                <w:rFonts w:hint="eastAsia" w:ascii="仿宋" w:hAnsi="仿宋" w:eastAsia="仿宋"/>
                <w:szCs w:val="21"/>
              </w:rPr>
              <w:t>5）油罐区人孔井管道介质流向标识，指向不清晰；</w:t>
            </w:r>
          </w:p>
          <w:p>
            <w:pPr>
              <w:spacing w:line="300" w:lineRule="exact"/>
              <w:rPr>
                <w:rFonts w:ascii="仿宋" w:hAnsi="仿宋" w:eastAsia="仿宋"/>
                <w:szCs w:val="21"/>
              </w:rPr>
            </w:pPr>
            <w:r>
              <w:rPr>
                <w:rFonts w:hint="eastAsia" w:ascii="仿宋" w:hAnsi="仿宋" w:eastAsia="仿宋"/>
                <w:szCs w:val="21"/>
              </w:rPr>
              <w:t>6）加油站地面标示线未画；</w:t>
            </w:r>
          </w:p>
          <w:p>
            <w:pPr>
              <w:spacing w:line="300" w:lineRule="exact"/>
              <w:rPr>
                <w:rFonts w:ascii="仿宋" w:hAnsi="仿宋" w:eastAsia="仿宋"/>
                <w:szCs w:val="21"/>
              </w:rPr>
            </w:pPr>
            <w:r>
              <w:rPr>
                <w:rFonts w:hint="eastAsia" w:ascii="仿宋" w:hAnsi="仿宋" w:eastAsia="仿宋"/>
                <w:szCs w:val="21"/>
              </w:rPr>
              <w:t>7）卸油口和人孔井盖未上锁；</w:t>
            </w:r>
          </w:p>
          <w:p>
            <w:pPr>
              <w:spacing w:line="300" w:lineRule="exact"/>
              <w:rPr>
                <w:rFonts w:ascii="仿宋" w:hAnsi="仿宋" w:eastAsia="仿宋"/>
                <w:szCs w:val="21"/>
              </w:rPr>
            </w:pPr>
            <w:r>
              <w:rPr>
                <w:rFonts w:hint="eastAsia" w:ascii="仿宋" w:hAnsi="仿宋" w:eastAsia="仿宋"/>
                <w:szCs w:val="21"/>
              </w:rPr>
              <w:t>8）变压器防护围栏无安全警示标识牌；</w:t>
            </w:r>
          </w:p>
          <w:p>
            <w:pPr>
              <w:spacing w:line="300" w:lineRule="exact"/>
              <w:rPr>
                <w:rFonts w:ascii="仿宋" w:hAnsi="仿宋" w:eastAsia="仿宋"/>
                <w:szCs w:val="21"/>
              </w:rPr>
            </w:pPr>
            <w:r>
              <w:rPr>
                <w:rFonts w:hint="eastAsia" w:ascii="仿宋" w:hAnsi="仿宋" w:eastAsia="仿宋"/>
                <w:szCs w:val="21"/>
              </w:rPr>
              <w:t>9）配电室和发电机间门口未设置档鼠板；</w:t>
            </w:r>
          </w:p>
          <w:p>
            <w:pPr>
              <w:spacing w:line="300" w:lineRule="exact"/>
              <w:rPr>
                <w:rFonts w:ascii="仿宋" w:hAnsi="仿宋" w:eastAsia="仿宋"/>
                <w:szCs w:val="21"/>
              </w:rPr>
            </w:pPr>
            <w:r>
              <w:rPr>
                <w:rFonts w:hint="eastAsia" w:ascii="仿宋" w:hAnsi="仿宋" w:eastAsia="仿宋"/>
                <w:szCs w:val="21"/>
              </w:rPr>
              <w:t>10）配电柜电缆管道口未封堵；</w:t>
            </w:r>
          </w:p>
          <w:p>
            <w:pPr>
              <w:spacing w:line="300" w:lineRule="exact"/>
              <w:rPr>
                <w:rFonts w:ascii="仿宋" w:hAnsi="仿宋" w:eastAsia="仿宋"/>
                <w:szCs w:val="21"/>
              </w:rPr>
            </w:pPr>
            <w:r>
              <w:rPr>
                <w:rFonts w:hint="eastAsia" w:ascii="仿宋" w:hAnsi="仿宋" w:eastAsia="仿宋"/>
                <w:szCs w:val="21"/>
              </w:rPr>
              <w:t>11）发电机未采取安全接地措施；</w:t>
            </w:r>
          </w:p>
          <w:p>
            <w:pPr>
              <w:spacing w:line="300" w:lineRule="exact"/>
              <w:rPr>
                <w:rFonts w:ascii="仿宋" w:hAnsi="仿宋" w:eastAsia="仿宋"/>
                <w:szCs w:val="21"/>
              </w:rPr>
            </w:pPr>
            <w:r>
              <w:rPr>
                <w:rFonts w:hint="eastAsia" w:ascii="仿宋" w:hAnsi="仿宋" w:eastAsia="仿宋"/>
                <w:szCs w:val="21"/>
              </w:rPr>
              <w:t>12）视频监控、高低液位报警系统未配备UPS。</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3B2F49"/>
    <w:rsid w:val="3A3B2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2022-01-21T02:47:00Z</dcterms:created>
  <dc:creator>雷楠</dc:creator>
  <cp:lastModifiedBy>雷楠</cp:lastModifiedBy>
  <dcterms:modified xsi:type="dcterms:W3CDTF">2022-01-21T02:47:24Z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19AE5B410CA34C36AF636DCC35C20C69</vt:lpwstr>
  </property>
</Properties>
</file>