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重庆国耀投资管理有限公司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重庆国耀投资管理有限公司重庆市巴南区姜家镇槐园村新房子社建筑石料用灰岩矿（改建）安全预评价报告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2022年3月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420" w:firstLineChars="200"/>
              <w:rPr>
                <w:rFonts w:ascii="仿宋" w:hAnsi="仿宋" w:eastAsia="仿宋" w:cs="仿宋"/>
                <w:szCs w:val="21"/>
              </w:rPr>
            </w:pPr>
            <w:r>
              <w:rPr>
                <w:rFonts w:ascii="仿宋" w:hAnsi="仿宋" w:eastAsia="仿宋" w:cs="仿宋"/>
                <w:szCs w:val="21"/>
              </w:rPr>
              <w:t>重庆国耀投资管理有限公司成立于2014年06月05日，统一社会信用代码91500112304904076F，经济类型为有限责任公司，法定代表人牟锐，营业期限为2014年06月05日至永久，经营范围包括矿产资源（非煤矿山）开采、建筑用石加工、销售建筑材料等。</w:t>
            </w:r>
          </w:p>
          <w:p>
            <w:pPr>
              <w:adjustRightInd w:val="0"/>
              <w:snapToGrid w:val="0"/>
              <w:spacing w:line="276" w:lineRule="auto"/>
              <w:ind w:firstLine="420" w:firstLineChars="200"/>
              <w:rPr>
                <w:rFonts w:ascii="仿宋" w:hAnsi="仿宋" w:eastAsia="仿宋" w:cs="仿宋"/>
                <w:szCs w:val="21"/>
              </w:rPr>
            </w:pPr>
            <w:r>
              <w:rPr>
                <w:rFonts w:hint="eastAsia" w:ascii="仿宋" w:hAnsi="仿宋" w:eastAsia="仿宋" w:cs="仿宋"/>
                <w:szCs w:val="21"/>
              </w:rPr>
              <w:t>重庆市巴南区姜家镇槐园村新房子社建筑石料用灰岩矿为</w:t>
            </w:r>
            <w:r>
              <w:rPr>
                <w:rFonts w:ascii="仿宋" w:hAnsi="仿宋" w:eastAsia="仿宋" w:cs="仿宋"/>
                <w:szCs w:val="21"/>
              </w:rPr>
              <w:t>重庆国耀投资管理有限公司</w:t>
            </w:r>
            <w:r>
              <w:rPr>
                <w:rFonts w:hint="eastAsia" w:ascii="仿宋" w:hAnsi="仿宋" w:eastAsia="仿宋" w:cs="仿宋"/>
                <w:szCs w:val="21"/>
              </w:rPr>
              <w:t>下属矿山，</w:t>
            </w:r>
            <w:r>
              <w:rPr>
                <w:rFonts w:ascii="仿宋" w:hAnsi="仿宋" w:eastAsia="仿宋" w:cs="仿宋"/>
                <w:szCs w:val="21"/>
              </w:rPr>
              <w:t>采矿许可证号：C5001132010127120097189，生产能力：100万吨/年，开采标高：+446m～+307m，矿区面积：0.2867km</w:t>
            </w:r>
            <w:r>
              <w:rPr>
                <w:rFonts w:ascii="仿宋" w:hAnsi="仿宋" w:eastAsia="仿宋" w:cs="仿宋"/>
                <w:szCs w:val="21"/>
                <w:vertAlign w:val="superscript"/>
              </w:rPr>
              <w:t>2</w:t>
            </w:r>
            <w:r>
              <w:rPr>
                <w:rFonts w:ascii="仿宋" w:hAnsi="仿宋" w:eastAsia="仿宋" w:cs="仿宋"/>
                <w:szCs w:val="21"/>
              </w:rPr>
              <w:t>，有效期限自2020年4月17日至2043年3月16日</w:t>
            </w:r>
            <w:r>
              <w:rPr>
                <w:rFonts w:hint="eastAsia" w:ascii="仿宋" w:hAnsi="仿宋" w:eastAsia="仿宋" w:cs="仿宋"/>
                <w:szCs w:val="21"/>
              </w:rPr>
              <w:t>；</w:t>
            </w:r>
            <w:r>
              <w:rPr>
                <w:rFonts w:ascii="仿宋" w:hAnsi="仿宋" w:eastAsia="仿宋" w:cs="仿宋"/>
                <w:szCs w:val="21"/>
              </w:rPr>
              <w:t>安全生产许可证</w:t>
            </w:r>
            <w:r>
              <w:rPr>
                <w:rFonts w:hint="eastAsia" w:ascii="仿宋" w:hAnsi="仿宋" w:eastAsia="仿宋" w:cs="仿宋"/>
                <w:szCs w:val="21"/>
              </w:rPr>
              <w:t>编</w:t>
            </w:r>
            <w:r>
              <w:rPr>
                <w:rFonts w:ascii="仿宋" w:hAnsi="仿宋" w:eastAsia="仿宋" w:cs="仿宋"/>
                <w:szCs w:val="21"/>
              </w:rPr>
              <w:t>号：（渝）FM安许证字〔20</w:t>
            </w:r>
            <w:r>
              <w:rPr>
                <w:rFonts w:hint="eastAsia" w:ascii="仿宋" w:hAnsi="仿宋" w:eastAsia="仿宋" w:cs="仿宋"/>
                <w:szCs w:val="21"/>
              </w:rPr>
              <w:t>21</w:t>
            </w:r>
            <w:r>
              <w:rPr>
                <w:rFonts w:ascii="仿宋" w:hAnsi="仿宋" w:eastAsia="仿宋" w:cs="仿宋"/>
                <w:szCs w:val="21"/>
              </w:rPr>
              <w:t>〕</w:t>
            </w:r>
            <w:r>
              <w:rPr>
                <w:rFonts w:hint="eastAsia" w:ascii="仿宋" w:hAnsi="仿宋" w:eastAsia="仿宋" w:cs="仿宋"/>
                <w:szCs w:val="21"/>
              </w:rPr>
              <w:t>巴南130134</w:t>
            </w:r>
            <w:r>
              <w:rPr>
                <w:rFonts w:ascii="仿宋" w:hAnsi="仿宋" w:eastAsia="仿宋" w:cs="仿宋"/>
                <w:szCs w:val="21"/>
              </w:rPr>
              <w:t>号，有效期限自20</w:t>
            </w:r>
            <w:r>
              <w:rPr>
                <w:rFonts w:hint="eastAsia" w:ascii="仿宋" w:hAnsi="仿宋" w:eastAsia="仿宋" w:cs="仿宋"/>
                <w:szCs w:val="21"/>
              </w:rPr>
              <w:t>21</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w:t>
            </w:r>
            <w:r>
              <w:rPr>
                <w:rFonts w:hint="eastAsia" w:ascii="仿宋" w:hAnsi="仿宋" w:eastAsia="仿宋" w:cs="仿宋"/>
                <w:szCs w:val="21"/>
              </w:rPr>
              <w:t>2</w:t>
            </w:r>
            <w:r>
              <w:rPr>
                <w:rFonts w:ascii="仿宋" w:hAnsi="仿宋" w:eastAsia="仿宋" w:cs="仿宋"/>
                <w:szCs w:val="21"/>
              </w:rPr>
              <w:t>8日至202</w:t>
            </w:r>
            <w:r>
              <w:rPr>
                <w:rFonts w:hint="eastAsia" w:ascii="仿宋" w:hAnsi="仿宋" w:eastAsia="仿宋" w:cs="仿宋"/>
                <w:szCs w:val="21"/>
              </w:rPr>
              <w:t>4</w:t>
            </w:r>
            <w:r>
              <w:rPr>
                <w:rFonts w:ascii="仿宋" w:hAnsi="仿宋" w:eastAsia="仿宋" w:cs="仿宋"/>
                <w:szCs w:val="21"/>
              </w:rPr>
              <w:t>年1</w:t>
            </w:r>
            <w:r>
              <w:rPr>
                <w:rFonts w:hint="eastAsia" w:ascii="仿宋" w:hAnsi="仿宋" w:eastAsia="仿宋" w:cs="仿宋"/>
                <w:szCs w:val="21"/>
              </w:rPr>
              <w:t>2</w:t>
            </w:r>
            <w:r>
              <w:rPr>
                <w:rFonts w:ascii="仿宋" w:hAnsi="仿宋" w:eastAsia="仿宋" w:cs="仿宋"/>
                <w:szCs w:val="21"/>
              </w:rPr>
              <w:t>月</w:t>
            </w:r>
            <w:r>
              <w:rPr>
                <w:rFonts w:hint="eastAsia" w:ascii="仿宋" w:hAnsi="仿宋" w:eastAsia="仿宋" w:cs="仿宋"/>
                <w:szCs w:val="21"/>
              </w:rPr>
              <w:t>2</w:t>
            </w:r>
            <w:r>
              <w:rPr>
                <w:rFonts w:ascii="仿宋" w:hAnsi="仿宋" w:eastAsia="仿宋" w:cs="仿宋"/>
                <w:szCs w:val="21"/>
              </w:rPr>
              <w:t>7日。</w:t>
            </w:r>
          </w:p>
          <w:p>
            <w:pPr>
              <w:adjustRightInd w:val="0"/>
              <w:snapToGrid w:val="0"/>
              <w:spacing w:line="276" w:lineRule="auto"/>
              <w:ind w:firstLine="420" w:firstLineChars="200"/>
              <w:jc w:val="left"/>
              <w:rPr>
                <w:rFonts w:hint="eastAsia" w:ascii="仿宋" w:hAnsi="仿宋" w:eastAsia="仿宋" w:cs="仿宋"/>
                <w:szCs w:val="21"/>
              </w:rPr>
            </w:pPr>
            <w:r>
              <w:rPr>
                <w:rFonts w:hint="eastAsia" w:ascii="仿宋" w:hAnsi="仿宋" w:eastAsia="仿宋" w:cs="仿宋"/>
                <w:szCs w:val="21"/>
              </w:rPr>
              <w:t>企业于2021年7月委托</w:t>
            </w:r>
            <w:r>
              <w:rPr>
                <w:rFonts w:ascii="仿宋" w:hAnsi="仿宋" w:eastAsia="仿宋" w:cs="仿宋"/>
                <w:szCs w:val="21"/>
              </w:rPr>
              <w:t>重庆道尔</w:t>
            </w:r>
            <w:r>
              <w:rPr>
                <w:rFonts w:hint="eastAsia" w:ascii="仿宋" w:hAnsi="仿宋" w:eastAsia="仿宋" w:cs="仿宋"/>
                <w:szCs w:val="21"/>
              </w:rPr>
              <w:t>工程技术</w:t>
            </w:r>
            <w:r>
              <w:rPr>
                <w:rFonts w:ascii="仿宋" w:hAnsi="仿宋" w:eastAsia="仿宋" w:cs="仿宋"/>
                <w:szCs w:val="21"/>
              </w:rPr>
              <w:t>有限公司</w:t>
            </w:r>
            <w:r>
              <w:rPr>
                <w:rFonts w:hint="eastAsia" w:ascii="仿宋" w:hAnsi="仿宋" w:eastAsia="仿宋" w:cs="仿宋"/>
                <w:szCs w:val="21"/>
              </w:rPr>
              <w:t>编制了《重庆国耀投资管理有限公司重庆市巴南区姜家镇槐园村新房子社建筑石料用灰岩矿（扩建）安全设施重大变更设计》，矿山</w:t>
            </w:r>
            <w:r>
              <w:rPr>
                <w:rFonts w:ascii="仿宋" w:hAnsi="仿宋" w:eastAsia="仿宋" w:cs="仿宋"/>
                <w:szCs w:val="21"/>
              </w:rPr>
              <w:t>采用露天开采</w:t>
            </w:r>
            <w:r>
              <w:rPr>
                <w:rFonts w:hint="eastAsia" w:ascii="仿宋" w:hAnsi="仿宋" w:eastAsia="仿宋" w:cs="仿宋"/>
                <w:szCs w:val="21"/>
              </w:rPr>
              <w:t>方式</w:t>
            </w:r>
            <w:r>
              <w:rPr>
                <w:rFonts w:ascii="仿宋" w:hAnsi="仿宋" w:eastAsia="仿宋" w:cs="仿宋"/>
                <w:szCs w:val="21"/>
              </w:rPr>
              <w:t>、</w:t>
            </w:r>
            <w:r>
              <w:rPr>
                <w:rFonts w:hint="eastAsia" w:ascii="仿宋" w:hAnsi="仿宋" w:eastAsia="仿宋" w:cs="仿宋"/>
                <w:szCs w:val="21"/>
              </w:rPr>
              <w:t>自上而下分</w:t>
            </w:r>
            <w:r>
              <w:rPr>
                <w:rFonts w:ascii="仿宋" w:hAnsi="仿宋" w:eastAsia="仿宋" w:cs="仿宋"/>
                <w:szCs w:val="21"/>
              </w:rPr>
              <w:t>台阶开采，</w:t>
            </w:r>
            <w:r>
              <w:rPr>
                <w:rFonts w:hint="eastAsia" w:ascii="仿宋" w:hAnsi="仿宋" w:eastAsia="仿宋" w:cs="仿宋"/>
                <w:szCs w:val="21"/>
              </w:rPr>
              <w:t>现场</w:t>
            </w:r>
            <w:r>
              <w:rPr>
                <w:rFonts w:ascii="仿宋" w:hAnsi="仿宋" w:eastAsia="仿宋" w:cs="仿宋"/>
                <w:szCs w:val="21"/>
              </w:rPr>
              <w:t>采用公路开拓</w:t>
            </w:r>
            <w:r>
              <w:rPr>
                <w:rFonts w:hint="eastAsia" w:ascii="仿宋" w:hAnsi="仿宋" w:eastAsia="仿宋" w:cs="仿宋"/>
                <w:szCs w:val="21"/>
              </w:rPr>
              <w:t>-</w:t>
            </w:r>
            <w:r>
              <w:rPr>
                <w:rFonts w:ascii="仿宋" w:hAnsi="仿宋" w:eastAsia="仿宋" w:cs="仿宋"/>
                <w:szCs w:val="21"/>
              </w:rPr>
              <w:t>汽车运输方案，采场内的矿石经过汽车运输至破碎机粗破后，再通过皮带运输机运送至精加工厂进行加工后外销。</w:t>
            </w:r>
            <w:r>
              <w:rPr>
                <w:rFonts w:hint="eastAsia" w:ascii="仿宋" w:hAnsi="仿宋" w:eastAsia="仿宋" w:cs="仿宋"/>
                <w:szCs w:val="21"/>
              </w:rPr>
              <w:t>由于矿山设计开采范围内资源即将开采完毕，为了延续矿山生产，企业计划将矿山剩余资源纳入开采范围，重新编制了开发利用方案。</w:t>
            </w:r>
            <w:r>
              <w:rPr>
                <w:rFonts w:ascii="仿宋" w:hAnsi="仿宋" w:eastAsia="仿宋" w:cs="仿宋"/>
                <w:szCs w:val="21"/>
              </w:rPr>
              <w:t>根据《建设项目安全设施“三同时”监督管理办法》（国家安全监管总局令〔2010〕第36号公布，国家安全监管总局令〔2015〕第77号修正）</w:t>
            </w:r>
            <w:r>
              <w:rPr>
                <w:rFonts w:hint="eastAsia" w:ascii="仿宋" w:hAnsi="仿宋" w:eastAsia="仿宋" w:cs="仿宋"/>
                <w:szCs w:val="21"/>
              </w:rPr>
              <w:t>、</w:t>
            </w:r>
            <w:r>
              <w:rPr>
                <w:rFonts w:ascii="仿宋" w:hAnsi="仿宋" w:eastAsia="仿宋" w:cs="仿宋"/>
                <w:szCs w:val="21"/>
              </w:rPr>
              <w:t>《重庆市安全生产监督管理局关于进一步规范全市非煤矿山安全生产行政许可工作的通知》等有关规定，企业应按照改建性质</w:t>
            </w:r>
            <w:r>
              <w:rPr>
                <w:rFonts w:hint="eastAsia" w:ascii="仿宋" w:hAnsi="仿宋" w:eastAsia="仿宋" w:cs="仿宋"/>
                <w:szCs w:val="21"/>
              </w:rPr>
              <w:t>重新</w:t>
            </w:r>
            <w:r>
              <w:rPr>
                <w:rFonts w:ascii="仿宋" w:hAnsi="仿宋" w:eastAsia="仿宋" w:cs="仿宋"/>
                <w:szCs w:val="21"/>
              </w:rPr>
              <w:t>履行安全设施“三同时”程序。</w:t>
            </w:r>
          </w:p>
          <w:p>
            <w:pPr>
              <w:adjustRightInd w:val="0"/>
              <w:snapToGrid w:val="0"/>
              <w:spacing w:line="276" w:lineRule="auto"/>
              <w:ind w:firstLine="420" w:firstLineChars="200"/>
              <w:jc w:val="left"/>
              <w:rPr>
                <w:rFonts w:hint="eastAsia"/>
              </w:rPr>
            </w:pPr>
          </w:p>
          <w:p>
            <w:pPr>
              <w:adjustRightInd w:val="0"/>
              <w:snapToGrid w:val="0"/>
              <w:spacing w:line="276" w:lineRule="auto"/>
              <w:jc w:val="center"/>
              <w:rPr>
                <w:rFonts w:hint="eastAsia" w:ascii="仿宋" w:hAnsi="仿宋" w:eastAsia="仿宋" w:cs="仿宋"/>
                <w:color w:val="000000"/>
                <w:szCs w:val="21"/>
              </w:rPr>
            </w:pPr>
            <w:r>
              <w:rPr>
                <w:rFonts w:ascii="仿宋" w:hAnsi="仿宋" w:eastAsia="仿宋" w:cs="仿宋"/>
                <w:color w:val="000000"/>
                <w:szCs w:val="21"/>
              </w:rPr>
              <w:drawing>
                <wp:inline distT="0" distB="0" distL="114300" distR="114300">
                  <wp:extent cx="5384800" cy="3596640"/>
                  <wp:effectExtent l="0" t="0" r="6350" b="3810"/>
                  <wp:docPr id="1" name="图片 1" descr="C:\Users\admin\Desktop\现场照片-巴南国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esktop\现场照片-巴南国耀.jpg"/>
                          <pic:cNvPicPr>
                            <a:picLocks noChangeAspect="1"/>
                          </pic:cNvPicPr>
                        </pic:nvPicPr>
                        <pic:blipFill>
                          <a:blip r:embed="rId4"/>
                          <a:srcRect l="17487" r="3151"/>
                          <a:stretch>
                            <a:fillRect/>
                          </a:stretch>
                        </pic:blipFill>
                        <pic:spPr>
                          <a:xfrm>
                            <a:off x="0" y="0"/>
                            <a:ext cx="5384800" cy="3596640"/>
                          </a:xfrm>
                          <a:prstGeom prst="rect">
                            <a:avLst/>
                          </a:prstGeom>
                          <a:noFill/>
                          <a:ln>
                            <a:noFill/>
                          </a:ln>
                        </pic:spPr>
                      </pic:pic>
                    </a:graphicData>
                  </a:graphic>
                </wp:inline>
              </w:drawing>
            </w:r>
          </w:p>
          <w:p>
            <w:pPr>
              <w:adjustRightInd w:val="0"/>
              <w:snapToGrid w:val="0"/>
              <w:spacing w:line="276" w:lineRule="auto"/>
              <w:ind w:firstLine="420" w:firstLineChars="200"/>
              <w:jc w:val="left"/>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2022年3月1日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2022年3月1日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021928"/>
    <w:rsid w:val="3E021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2022-03-24T03:31:00Z</dcterms:created>
  <dc:creator>雷楠</dc:creator>
  <cp:lastModifiedBy>雷楠</cp:lastModifiedBy>
  <dcterms:modified xsi:type="dcterms:W3CDTF">2022-03-24T03:31:36Z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4CB687CD65B047D0B975BC4424C5643C</vt:lpwstr>
  </property>
</Properties>
</file>