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24090"/>
      <w:bookmarkStart w:id="1" w:name="_Toc27661"/>
      <w:bookmarkStart w:id="2" w:name="_Toc16094"/>
      <w:bookmarkStart w:id="3" w:name="_Toc16246"/>
      <w:bookmarkStart w:id="4" w:name="_Toc29322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涪陵页岩气田焦石坝区块焦页11号北</w:t>
            </w:r>
            <w:r>
              <w:rPr>
                <w:rFonts w:ascii="仿宋" w:hAnsi="仿宋" w:eastAsia="仿宋"/>
                <w:szCs w:val="21"/>
              </w:rPr>
              <w:t>中部气层开发调整</w:t>
            </w:r>
            <w:r>
              <w:rPr>
                <w:rFonts w:hint="eastAsia" w:ascii="仿宋" w:hAnsi="仿宋" w:eastAsia="仿宋"/>
                <w:szCs w:val="21"/>
              </w:rPr>
              <w:t>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2022.11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S011053000110192002987/035615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S011053000110202001824/039952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S011053000110192002961/035523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55210262939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S011053000110192003137/035874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S011053000110202001889/040396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S011053000110193002251/035553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S011053000110192003004/035894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003832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焦页11号东平台扩建3口井，搬迁400千瓦水套炉2台、新增3具两相流量计、1具DN800分离器。焦页11号北平台扩建5口井，搬迁400千瓦水套炉2台、新增5具两相流量计、1具DN1200分离器。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2847975" cy="19050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黄安勇、林波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2022.9.16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2960D59"/>
    <w:rsid w:val="2296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2023-02-16T02:01:00Z</dcterms:created>
  <dc:creator>雷楠</dc:creator>
  <cp:lastModifiedBy>雷楠</cp:lastModifiedBy>
  <dcterms:modified xsi:type="dcterms:W3CDTF">2023-02-16T02:01:09Z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00AAB091E2E5441A8FB5351B0E60B604</vt:lpwstr>
  </property>
</Properties>
</file>