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涪陵页岩气田焦石坝区块焦页5号扩中部气层开发调整井组安全预评价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="440"/>
              <w:rPr>
                <w:rFonts w:hAnsi="Times New Roman" w:cs="Arial"/>
                <w:color w:val="000000"/>
                <w:sz w:val="22"/>
              </w:rPr>
            </w:pPr>
            <w:r>
              <w:rPr>
                <w:rFonts w:hint="eastAsia" w:hAnsi="Times New Roman" w:cs="Arial"/>
                <w:sz w:val="22"/>
              </w:rPr>
              <w:t>涪陵页岩气田焦石坝区块焦页5号扩中部气层开发调整井组钻井工程部署3个平台12口井，均为利用老平台扩建，其中焦页6号西平台部署水平井2口，焦页13号东扩井组部署水平井2口，采用单排单钻机布井；焦页5号扩平台部署水平井8口，采用双排双钻机布井；井口间距8米，单井日产能力4.6×10</w:t>
            </w:r>
            <w:r>
              <w:rPr>
                <w:rFonts w:hint="eastAsia" w:hAnsi="Times New Roman" w:cs="Arial"/>
                <w:sz w:val="22"/>
                <w:vertAlign w:val="superscript"/>
              </w:rPr>
              <w:t>4</w:t>
            </w:r>
            <w:r>
              <w:rPr>
                <w:rFonts w:hint="eastAsia" w:hAnsi="Times New Roman" w:cs="Arial"/>
                <w:sz w:val="22"/>
              </w:rPr>
              <w:t>m</w:t>
            </w:r>
            <w:r>
              <w:rPr>
                <w:rFonts w:hint="eastAsia" w:hAnsi="Times New Roman" w:cs="Arial"/>
                <w:sz w:val="22"/>
                <w:vertAlign w:val="superscript"/>
              </w:rPr>
              <w:t>3</w:t>
            </w:r>
            <w:r>
              <w:rPr>
                <w:rFonts w:hint="eastAsia" w:hAnsi="Times New Roman" w:cs="Arial"/>
                <w:sz w:val="22"/>
              </w:rPr>
              <w:t>/d</w:t>
            </w:r>
            <w:r>
              <w:rPr>
                <w:rFonts w:hint="eastAsia"/>
                <w:sz w:val="22"/>
              </w:rPr>
              <w:t>。</w:t>
            </w:r>
          </w:p>
          <w:p>
            <w:pPr>
              <w:spacing w:line="240" w:lineRule="auto"/>
              <w:ind w:firstLine="440"/>
              <w:rPr>
                <w:rFonts w:hint="eastAsia" w:hAnsi="Times New Roman" w:cs="Arial"/>
                <w:sz w:val="22"/>
              </w:rPr>
            </w:pPr>
            <w:r>
              <w:rPr>
                <w:rFonts w:hint="eastAsia" w:hAnsi="Times New Roman" w:cs="Arial"/>
                <w:sz w:val="22"/>
              </w:rPr>
              <w:t>本工程</w:t>
            </w:r>
            <w:r>
              <w:rPr>
                <w:rFonts w:hint="eastAsia"/>
                <w:sz w:val="22"/>
              </w:rPr>
              <w:t>地面工程依托已建集气站扩建，新建产能1.46亿</w:t>
            </w:r>
            <w:r>
              <w:rPr>
                <w:sz w:val="22"/>
              </w:rPr>
              <w:t>m</w:t>
            </w:r>
            <w:r>
              <w:rPr>
                <w:sz w:val="22"/>
                <w:vertAlign w:val="superscript"/>
              </w:rPr>
              <w:t>3</w:t>
            </w:r>
            <w:r>
              <w:rPr>
                <w:rFonts w:hint="eastAsia"/>
                <w:sz w:val="22"/>
              </w:rPr>
              <w:t>/年。其中，焦页6号西平台新增气井2口经水套加热炉加热节流后，经2具两相流量计和1具DN800分离器连续计量后外输；焦页5号扩平台新增气井8口经水套加热炉加热节流、由8具两相流量计和1具DN1200分离器连续计量分离后接入已建外输流程；焦页13号东平台新增气井2口经水套加热炉加热节流，由2具两相流量计和1具DN800分离器连续计量分离后接入已建外输流程。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5"/>
                <w:szCs w:val="21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本工程钻井目的层</w:t>
            </w:r>
            <w:r>
              <w:rPr>
                <w:rFonts w:hAnsi="Times New Roman" w:cs="Arial"/>
                <w:color w:val="000000"/>
                <w:sz w:val="22"/>
              </w:rPr>
              <w:t>天然气</w:t>
            </w:r>
            <w:r>
              <w:rPr>
                <w:rFonts w:hint="eastAsia" w:hAnsi="Times New Roman" w:cs="Arial"/>
                <w:color w:val="000000"/>
                <w:sz w:val="22"/>
              </w:rPr>
              <w:t>以</w:t>
            </w:r>
            <w:r>
              <w:rPr>
                <w:rFonts w:hAnsi="Times New Roman" w:cs="Arial"/>
                <w:color w:val="000000"/>
                <w:sz w:val="22"/>
              </w:rPr>
              <w:t>甲烷含量为主，不含硫化氢。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8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5132705" cy="1878330"/>
                  <wp:effectExtent l="0" t="0" r="10795" b="762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2705" cy="1878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2022.11.7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2022.11.7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AB94E9D"/>
    <w:rsid w:val="1AB9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noFill/>
        <a:noFill/>
        <a:noFill/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2023-02-10T02:45:00Z</dcterms:created>
  <dc:creator>雷楠</dc:creator>
  <cp:lastModifiedBy>雷楠</cp:lastModifiedBy>
  <dcterms:modified xsi:type="dcterms:W3CDTF">2023-02-10T02:45:46Z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7BB37D218D894B04A566E5A2386EF184</vt:lpwstr>
  </property>
</Properties>
</file>