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000000"/>
          <w:sz w:val="28"/>
          <w:szCs w:val="28"/>
        </w:rPr>
      </w:pPr>
      <w:r>
        <w:rPr>
          <w:rFonts w:hint="eastAsia" w:ascii="仿宋" w:hAnsi="仿宋" w:eastAsia="仿宋"/>
          <w:b/>
          <w:color w:val="000000"/>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机构名称</w:t>
            </w:r>
          </w:p>
        </w:tc>
        <w:tc>
          <w:tcPr>
            <w:tcW w:w="3936"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委托单位</w:t>
            </w:r>
          </w:p>
        </w:tc>
        <w:tc>
          <w:tcPr>
            <w:tcW w:w="8572" w:type="dxa"/>
            <w:gridSpan w:val="12"/>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kern w:val="0"/>
                <w:szCs w:val="21"/>
              </w:rPr>
              <w:t>重庆亘基混凝土有限公司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项目名称</w:t>
            </w:r>
          </w:p>
        </w:tc>
        <w:tc>
          <w:tcPr>
            <w:tcW w:w="8572" w:type="dxa"/>
            <w:gridSpan w:val="12"/>
            <w:vAlign w:val="center"/>
          </w:tcPr>
          <w:p>
            <w:pPr>
              <w:spacing w:line="500" w:lineRule="exact"/>
              <w:jc w:val="center"/>
              <w:rPr>
                <w:rFonts w:ascii="仿宋" w:hAnsi="仿宋" w:eastAsia="仿宋" w:cs="仿宋"/>
                <w:bCs/>
                <w:color w:val="000000"/>
                <w:szCs w:val="21"/>
              </w:rPr>
            </w:pPr>
            <w:r>
              <w:rPr>
                <w:rFonts w:hint="eastAsia" w:ascii="仿宋" w:hAnsi="仿宋" w:eastAsia="仿宋" w:cs="仿宋"/>
                <w:color w:val="000000"/>
                <w:kern w:val="0"/>
                <w:szCs w:val="21"/>
              </w:rPr>
              <w:t>重庆亘基混凝土有限公司石灰石矿山（改建）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项目类别</w:t>
            </w:r>
          </w:p>
        </w:tc>
        <w:tc>
          <w:tcPr>
            <w:tcW w:w="8572" w:type="dxa"/>
            <w:gridSpan w:val="12"/>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jc w:val="center"/>
              <w:rPr>
                <w:rFonts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tcPr>
          <w:p>
            <w:pPr>
              <w:spacing w:line="400" w:lineRule="exact"/>
              <w:jc w:val="center"/>
              <w:rPr>
                <w:rFonts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安全评价过程控制情况</w:t>
            </w:r>
            <w:bookmarkStart w:id="4" w:name="_GoBack"/>
            <w:bookmarkEnd w:id="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color w:val="000000"/>
                <w:szCs w:val="21"/>
              </w:rPr>
            </w:pPr>
          </w:p>
        </w:tc>
        <w:tc>
          <w:tcPr>
            <w:tcW w:w="2987" w:type="dxa"/>
            <w:gridSpan w:val="3"/>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陈兴勇</w:t>
            </w:r>
          </w:p>
        </w:tc>
        <w:tc>
          <w:tcPr>
            <w:tcW w:w="2710" w:type="dxa"/>
            <w:gridSpan w:val="6"/>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唐元杰</w:t>
            </w:r>
          </w:p>
        </w:tc>
        <w:tc>
          <w:tcPr>
            <w:tcW w:w="2875" w:type="dxa"/>
            <w:gridSpan w:val="3"/>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编制过程</w:t>
            </w:r>
          </w:p>
        </w:tc>
        <w:tc>
          <w:tcPr>
            <w:tcW w:w="2174" w:type="dxa"/>
            <w:gridSpan w:val="2"/>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390" w:type="dxa"/>
            <w:vMerge w:val="continue"/>
            <w:vAlign w:val="center"/>
          </w:tcPr>
          <w:p>
            <w:pPr>
              <w:spacing w:line="500" w:lineRule="exact"/>
              <w:jc w:val="center"/>
              <w:rPr>
                <w:rFonts w:ascii="仿宋" w:hAnsi="仿宋" w:eastAsia="仿宋"/>
                <w:b/>
                <w:color w:val="000000"/>
                <w:szCs w:val="21"/>
              </w:rPr>
            </w:pPr>
          </w:p>
        </w:tc>
        <w:tc>
          <w:tcPr>
            <w:tcW w:w="2174" w:type="dxa"/>
            <w:gridSpan w:val="2"/>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pacing w:val="-14"/>
                <w:szCs w:val="21"/>
              </w:rPr>
              <w:t>罗青海</w:t>
            </w:r>
          </w:p>
        </w:tc>
        <w:tc>
          <w:tcPr>
            <w:tcW w:w="2073"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pacing w:val="-14"/>
                <w:szCs w:val="21"/>
              </w:rPr>
              <w:t>2022年</w:t>
            </w:r>
            <w:r>
              <w:rPr>
                <w:rFonts w:hint="eastAsia" w:ascii="仿宋" w:hAnsi="仿宋" w:eastAsia="仿宋" w:cs="仿宋"/>
                <w:color w:val="000000"/>
                <w:spacing w:val="-14"/>
                <w:szCs w:val="21"/>
                <w:lang w:val="en-US" w:eastAsia="zh-CN"/>
              </w:rPr>
              <w:t>12</w:t>
            </w:r>
            <w:r>
              <w:rPr>
                <w:rFonts w:hint="eastAsia" w:ascii="仿宋" w:hAnsi="仿宋" w:eastAsia="仿宋" w:cs="仿宋"/>
                <w:color w:val="000000"/>
                <w:spacing w:val="-14"/>
                <w:szCs w:val="21"/>
              </w:rPr>
              <w:t>月</w:t>
            </w:r>
          </w:p>
        </w:tc>
        <w:tc>
          <w:tcPr>
            <w:tcW w:w="2169"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pacing w:val="-14"/>
                <w:szCs w:val="21"/>
              </w:rPr>
              <w:t>蔡治勇</w:t>
            </w:r>
          </w:p>
        </w:tc>
        <w:tc>
          <w:tcPr>
            <w:tcW w:w="2156" w:type="dxa"/>
            <w:gridSpan w:val="2"/>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pacing w:val="-14"/>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姓  名</w:t>
            </w:r>
          </w:p>
        </w:tc>
        <w:tc>
          <w:tcPr>
            <w:tcW w:w="2174" w:type="dxa"/>
            <w:gridSpan w:val="2"/>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注册证号</w:t>
            </w:r>
          </w:p>
        </w:tc>
        <w:tc>
          <w:tcPr>
            <w:tcW w:w="1663" w:type="dxa"/>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陈兴勇</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026317</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55180172489</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罗青海</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vAlign w:val="center"/>
          </w:tcPr>
          <w:p>
            <w:pPr>
              <w:jc w:val="center"/>
              <w:rPr>
                <w:rFonts w:ascii="仿宋" w:hAnsi="仿宋" w:eastAsia="仿宋" w:cs="仿宋"/>
                <w:color w:val="000000"/>
                <w:szCs w:val="21"/>
              </w:rPr>
            </w:pPr>
            <w:r>
              <w:rPr>
                <w:rFonts w:ascii="仿宋" w:hAnsi="仿宋" w:eastAsia="仿宋" w:cs="仿宋"/>
                <w:color w:val="000000"/>
                <w:szCs w:val="21"/>
              </w:rPr>
              <w:t>030480</w:t>
            </w:r>
          </w:p>
        </w:tc>
        <w:tc>
          <w:tcPr>
            <w:tcW w:w="2662" w:type="dxa"/>
            <w:gridSpan w:val="5"/>
            <w:vAlign w:val="center"/>
          </w:tcPr>
          <w:p>
            <w:pPr>
              <w:jc w:val="center"/>
              <w:rPr>
                <w:rFonts w:ascii="仿宋_GB2312" w:hAnsi="仿宋_GB2312" w:eastAsia="仿宋_GB2312" w:cs="仿宋_GB2312"/>
                <w:color w:val="000000"/>
                <w:sz w:val="24"/>
                <w:szCs w:val="24"/>
              </w:rPr>
            </w:pPr>
            <w:r>
              <w:rPr>
                <w:rFonts w:ascii="仿宋_GB2312" w:hAnsi="仿宋_GB2312" w:eastAsia="仿宋_GB2312" w:cs="仿宋_GB2312"/>
                <w:color w:val="000000"/>
                <w:sz w:val="24"/>
                <w:szCs w:val="24"/>
              </w:rPr>
              <w:t>55200257985</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欧  建</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033483</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55220312402</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孙文豪</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037349</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19220313492</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吴子科</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023846</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55180193792</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唐金广</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电气专业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026313</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55190209582</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唐元杰</w:t>
            </w:r>
          </w:p>
        </w:tc>
        <w:tc>
          <w:tcPr>
            <w:tcW w:w="2174" w:type="dxa"/>
            <w:gridSpan w:val="2"/>
            <w:vAlign w:val="center"/>
          </w:tcPr>
          <w:p>
            <w:pPr>
              <w:pStyle w:val="3"/>
              <w:spacing w:before="0"/>
              <w:ind w:left="0"/>
              <w:jc w:val="center"/>
              <w:rPr>
                <w:rFonts w:cs="仿宋"/>
                <w:color w:val="000000"/>
                <w:kern w:val="2"/>
                <w:sz w:val="21"/>
                <w:szCs w:val="21"/>
                <w:lang w:eastAsia="zh-CN"/>
              </w:rPr>
            </w:pPr>
            <w:r>
              <w:rPr>
                <w:rFonts w:hint="eastAsia" w:cs="仿宋"/>
                <w:color w:val="000000"/>
                <w:kern w:val="2"/>
                <w:sz w:val="21"/>
                <w:szCs w:val="21"/>
                <w:lang w:eastAsia="zh-CN"/>
              </w:rPr>
              <w:t>采矿专业</w:t>
            </w:r>
          </w:p>
        </w:tc>
        <w:tc>
          <w:tcPr>
            <w:tcW w:w="2073" w:type="dxa"/>
            <w:gridSpan w:val="4"/>
            <w:vAlign w:val="center"/>
          </w:tcPr>
          <w:p>
            <w:pPr>
              <w:pStyle w:val="3"/>
              <w:spacing w:before="0"/>
              <w:ind w:left="0"/>
              <w:jc w:val="center"/>
              <w:rPr>
                <w:rFonts w:cs="仿宋"/>
                <w:color w:val="000000"/>
                <w:kern w:val="2"/>
                <w:sz w:val="21"/>
                <w:szCs w:val="21"/>
                <w:lang w:eastAsia="zh-CN"/>
              </w:rPr>
            </w:pPr>
            <w:r>
              <w:rPr>
                <w:rFonts w:hint="eastAsia" w:cs="仿宋"/>
                <w:color w:val="000000"/>
                <w:kern w:val="2"/>
                <w:sz w:val="21"/>
                <w:szCs w:val="21"/>
                <w:lang w:eastAsia="zh-CN"/>
              </w:rPr>
              <w:t>001493</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55070030029</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蔡治勇</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003832</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55080052964</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闫云光</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035582</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55210262938</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冯皓</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55130140330</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color w:val="000000"/>
                <w:szCs w:val="21"/>
              </w:rPr>
            </w:pPr>
            <w:r>
              <w:rPr>
                <w:rFonts w:hint="eastAsia" w:ascii="仿宋" w:hAnsi="仿宋" w:eastAsia="仿宋"/>
                <w:b/>
                <w:color w:val="000000"/>
                <w:szCs w:val="21"/>
              </w:rPr>
              <w:t>项目简介</w:t>
            </w:r>
          </w:p>
        </w:tc>
        <w:tc>
          <w:tcPr>
            <w:tcW w:w="8572" w:type="dxa"/>
            <w:gridSpan w:val="12"/>
            <w:vAlign w:val="center"/>
          </w:tcPr>
          <w:p>
            <w:pPr>
              <w:adjustRightInd w:val="0"/>
              <w:snapToGrid w:val="0"/>
              <w:spacing w:line="260" w:lineRule="exact"/>
              <w:ind w:firstLine="420" w:firstLineChars="200"/>
              <w:rPr>
                <w:rFonts w:ascii="仿宋" w:hAnsi="仿宋" w:eastAsia="仿宋" w:cs="仿宋"/>
                <w:szCs w:val="21"/>
              </w:rPr>
            </w:pPr>
            <w:r>
              <w:rPr>
                <w:rFonts w:hint="eastAsia" w:ascii="仿宋" w:hAnsi="仿宋" w:eastAsia="仿宋" w:cs="仿宋"/>
                <w:szCs w:val="21"/>
              </w:rPr>
              <w:t>重庆亘基混凝土有限公司成立于2009年03月30日，统一社会信用代码915001176862400919，法定代表人为赵轶君，经济类型属有限责任公司，位于重庆市合川区盐井镇廻龙桥居委会。经营范围为建筑石料用灰岩露天开采、加工、销售，水泥制品研制、开发、生产、销售，商品混凝土生产、销售及相关技术咨询服务，河沙销售，碎石、卵石加工、销售等。</w:t>
            </w:r>
          </w:p>
          <w:p>
            <w:pPr>
              <w:adjustRightInd w:val="0"/>
              <w:snapToGrid w:val="0"/>
              <w:spacing w:line="260" w:lineRule="exact"/>
              <w:ind w:firstLine="420" w:firstLineChars="200"/>
              <w:rPr>
                <w:rFonts w:ascii="仿宋" w:hAnsi="仿宋" w:eastAsia="仿宋" w:cs="仿宋"/>
                <w:szCs w:val="21"/>
              </w:rPr>
            </w:pPr>
            <w:r>
              <w:rPr>
                <w:rFonts w:hint="eastAsia" w:ascii="仿宋" w:hAnsi="仿宋" w:eastAsia="仿宋" w:cs="仿宋"/>
                <w:szCs w:val="21"/>
              </w:rPr>
              <w:t>重庆亘基混凝土有限公司所属石灰石矿山位于合川区盐井街道茶园村，矿山开采矿种为建筑石料用灰岩，开采方式为露天开采，生产规模100万吨/年，矿区面积0.0425km2，现已取得了采矿许可证和安全生产许可证。其中采矿许可证证号为：C5001172009107130041050，有效期限：自2021年9月1日至2024年9月1日；安全生产许可证证号为：（渝）FM安许证字〔2020〕合川延170119号，有效期：2020年8月28日至2023年8月28日，企业证照齐全，合法有效。</w:t>
            </w:r>
          </w:p>
          <w:p>
            <w:pPr>
              <w:adjustRightInd w:val="0"/>
              <w:snapToGrid w:val="0"/>
              <w:spacing w:line="260" w:lineRule="exact"/>
              <w:ind w:firstLine="420" w:firstLineChars="200"/>
              <w:rPr>
                <w:rFonts w:ascii="仿宋" w:hAnsi="仿宋" w:eastAsia="仿宋" w:cs="仿宋"/>
                <w:szCs w:val="21"/>
              </w:rPr>
            </w:pPr>
            <w:r>
              <w:rPr>
                <w:rFonts w:hint="eastAsia" w:ascii="仿宋" w:hAnsi="仿宋" w:eastAsia="仿宋" w:cs="仿宋"/>
                <w:szCs w:val="21"/>
              </w:rPr>
              <w:t>原设计为保护矿山北侧原X357县道的安全，在矿区北西侧留设了禁采区，不进行开采；禁采区留设后矿区设计开采范围与公路距离大于100m。重庆市合川区交通委员会为认真落实合川区区委、区政府大力扶持民营经济发展的要求，特将原X357县道（盐九路段）降低道路等级为乡道，并同意对乡道盐九路进行迁建，同时出具了《重庆市合川区交通委员会关于迁建盐九路K5+500-K8段的复函》（合川交委〔2018〕321号）。根据《公路安全保护条例》第十七条规定：乡道的公路用地外缘起向外50米内，禁止从事采矿、采石、取土、爆破作业等危及公路、公路桥梁、公路隧道、公路渡口安全的活动。为安全、合理、有效的开采矿区资源，避免矿产资源浪费，提高企业经济效益，企业申请缩小禁采区，重新调整开采范围。根据《建设项目安全设施“三同时”监督管理办法》（国家安全生产监督管理总局令第36号发布，国家安全生产监督管理总局令第77号修正）及《重庆市安全生产监督管理局关于进一步规范全市非煤矿山安全生产行政许可工作的通知》（渝安监发〔2017〕49号）等有关规定的要求，该项目应按照“改建”性质履行安全设施“三同时”程序。</w:t>
            </w:r>
          </w:p>
          <w:p>
            <w:pPr>
              <w:pStyle w:val="2"/>
              <w:rPr>
                <w:rFonts w:ascii="仿宋" w:hAnsi="仿宋" w:eastAsia="仿宋" w:cs="仿宋"/>
                <w:szCs w:val="21"/>
              </w:rPr>
            </w:pPr>
            <w:r>
              <w:rPr>
                <w:rFonts w:ascii="仿宋" w:hAnsi="仿宋" w:eastAsia="仿宋" w:cs="仿宋"/>
                <w:szCs w:val="21"/>
              </w:rPr>
              <w:t>企业于202</w:t>
            </w:r>
            <w:r>
              <w:rPr>
                <w:rFonts w:hint="eastAsia" w:ascii="仿宋" w:hAnsi="仿宋" w:eastAsia="仿宋" w:cs="仿宋"/>
                <w:szCs w:val="21"/>
              </w:rPr>
              <w:t>1</w:t>
            </w:r>
            <w:r>
              <w:rPr>
                <w:rFonts w:ascii="仿宋" w:hAnsi="仿宋" w:eastAsia="仿宋" w:cs="仿宋"/>
                <w:szCs w:val="21"/>
              </w:rPr>
              <w:t>年9月委托</w:t>
            </w:r>
            <w:r>
              <w:rPr>
                <w:rFonts w:hint="eastAsia" w:ascii="仿宋" w:hAnsi="仿宋" w:eastAsia="仿宋" w:cs="仿宋"/>
                <w:szCs w:val="21"/>
              </w:rPr>
              <w:t>重庆市安全生产科学研究有限公司编制了</w:t>
            </w:r>
            <w:bookmarkStart w:id="0" w:name="_Hlk121211347"/>
            <w:r>
              <w:rPr>
                <w:rFonts w:ascii="仿宋" w:hAnsi="仿宋" w:eastAsia="仿宋" w:cs="仿宋"/>
                <w:szCs w:val="21"/>
              </w:rPr>
              <w:t>《重庆亘基混凝土有限公司石灰石矿山（</w:t>
            </w:r>
            <w:r>
              <w:rPr>
                <w:rFonts w:hint="eastAsia" w:ascii="仿宋" w:hAnsi="仿宋" w:eastAsia="仿宋" w:cs="仿宋"/>
                <w:szCs w:val="21"/>
              </w:rPr>
              <w:t>改</w:t>
            </w:r>
            <w:r>
              <w:rPr>
                <w:rFonts w:ascii="仿宋" w:hAnsi="仿宋" w:eastAsia="仿宋" w:cs="仿宋"/>
                <w:szCs w:val="21"/>
              </w:rPr>
              <w:t>建）</w:t>
            </w:r>
            <w:bookmarkEnd w:id="0"/>
            <w:r>
              <w:rPr>
                <w:rFonts w:ascii="仿宋" w:hAnsi="仿宋" w:eastAsia="仿宋" w:cs="仿宋"/>
                <w:szCs w:val="21"/>
              </w:rPr>
              <w:t>安全</w:t>
            </w:r>
            <w:r>
              <w:rPr>
                <w:rFonts w:hint="eastAsia" w:ascii="仿宋" w:hAnsi="仿宋" w:eastAsia="仿宋" w:cs="仿宋"/>
                <w:szCs w:val="21"/>
              </w:rPr>
              <w:t>预</w:t>
            </w:r>
            <w:r>
              <w:rPr>
                <w:rFonts w:ascii="仿宋" w:hAnsi="仿宋" w:eastAsia="仿宋" w:cs="仿宋"/>
                <w:szCs w:val="21"/>
              </w:rPr>
              <w:t>评价报告》</w:t>
            </w:r>
            <w:r>
              <w:rPr>
                <w:rFonts w:hint="eastAsia" w:ascii="仿宋" w:hAnsi="仿宋" w:eastAsia="仿宋" w:cs="仿宋"/>
                <w:szCs w:val="21"/>
              </w:rPr>
              <w:t>，委托</w:t>
            </w:r>
            <w:r>
              <w:rPr>
                <w:rFonts w:ascii="仿宋" w:hAnsi="仿宋" w:eastAsia="仿宋" w:cs="仿宋"/>
                <w:szCs w:val="21"/>
              </w:rPr>
              <w:t>重庆道尔工程技术有限公司编制了</w:t>
            </w:r>
            <w:bookmarkStart w:id="1" w:name="_Hlk121211356"/>
            <w:r>
              <w:rPr>
                <w:rFonts w:ascii="仿宋" w:hAnsi="仿宋" w:eastAsia="仿宋" w:cs="仿宋"/>
                <w:szCs w:val="21"/>
              </w:rPr>
              <w:t>《重庆亘基混凝土有限公司石灰石矿山（</w:t>
            </w:r>
            <w:r>
              <w:rPr>
                <w:rFonts w:hint="eastAsia" w:ascii="仿宋" w:hAnsi="仿宋" w:eastAsia="仿宋" w:cs="仿宋"/>
                <w:szCs w:val="21"/>
              </w:rPr>
              <w:t>改</w:t>
            </w:r>
            <w:r>
              <w:rPr>
                <w:rFonts w:ascii="仿宋" w:hAnsi="仿宋" w:eastAsia="仿宋" w:cs="仿宋"/>
                <w:szCs w:val="21"/>
              </w:rPr>
              <w:t>建）</w:t>
            </w:r>
            <w:bookmarkEnd w:id="1"/>
            <w:r>
              <w:rPr>
                <w:rFonts w:ascii="仿宋" w:hAnsi="仿宋" w:eastAsia="仿宋" w:cs="仿宋"/>
                <w:szCs w:val="21"/>
              </w:rPr>
              <w:t>初步设计》及</w:t>
            </w:r>
            <w:bookmarkStart w:id="2" w:name="_Hlk121212240"/>
            <w:r>
              <w:rPr>
                <w:rFonts w:ascii="仿宋" w:hAnsi="仿宋" w:eastAsia="仿宋" w:cs="仿宋"/>
                <w:szCs w:val="21"/>
              </w:rPr>
              <w:t>《重庆亘基混凝土有限公司</w:t>
            </w:r>
            <w:bookmarkStart w:id="3" w:name="_Hlk121211839"/>
            <w:r>
              <w:rPr>
                <w:rFonts w:ascii="仿宋" w:hAnsi="仿宋" w:eastAsia="仿宋" w:cs="仿宋"/>
                <w:szCs w:val="21"/>
              </w:rPr>
              <w:t>石灰石矿山</w:t>
            </w:r>
            <w:bookmarkEnd w:id="3"/>
            <w:r>
              <w:rPr>
                <w:rFonts w:ascii="仿宋" w:hAnsi="仿宋" w:eastAsia="仿宋" w:cs="仿宋"/>
                <w:szCs w:val="21"/>
              </w:rPr>
              <w:t>（</w:t>
            </w:r>
            <w:r>
              <w:rPr>
                <w:rFonts w:hint="eastAsia" w:ascii="仿宋" w:hAnsi="仿宋" w:eastAsia="仿宋" w:cs="仿宋"/>
                <w:szCs w:val="21"/>
              </w:rPr>
              <w:t>改</w:t>
            </w:r>
            <w:r>
              <w:rPr>
                <w:rFonts w:ascii="仿宋" w:hAnsi="仿宋" w:eastAsia="仿宋" w:cs="仿宋"/>
                <w:szCs w:val="21"/>
              </w:rPr>
              <w:t>建）安全设施设计》</w:t>
            </w:r>
            <w:bookmarkEnd w:id="2"/>
            <w:r>
              <w:rPr>
                <w:rFonts w:hint="eastAsia" w:ascii="仿宋" w:hAnsi="仿宋" w:eastAsia="仿宋" w:cs="仿宋"/>
                <w:szCs w:val="21"/>
              </w:rPr>
              <w:t>，</w:t>
            </w:r>
            <w:r>
              <w:rPr>
                <w:rFonts w:ascii="仿宋" w:hAnsi="仿宋" w:eastAsia="仿宋" w:cs="仿宋"/>
                <w:szCs w:val="21"/>
              </w:rPr>
              <w:t>通过了</w:t>
            </w:r>
            <w:r>
              <w:rPr>
                <w:rFonts w:hint="eastAsia" w:ascii="仿宋" w:hAnsi="仿宋" w:eastAsia="仿宋" w:cs="仿宋"/>
                <w:szCs w:val="21"/>
              </w:rPr>
              <w:t>重庆市</w:t>
            </w:r>
            <w:r>
              <w:rPr>
                <w:rFonts w:ascii="仿宋" w:hAnsi="仿宋" w:eastAsia="仿宋" w:cs="仿宋"/>
                <w:szCs w:val="21"/>
              </w:rPr>
              <w:t>应急管理局组织的专家组评审，并</w:t>
            </w:r>
            <w:r>
              <w:rPr>
                <w:rFonts w:hint="eastAsia" w:ascii="仿宋" w:hAnsi="仿宋" w:eastAsia="仿宋" w:cs="仿宋"/>
                <w:szCs w:val="21"/>
              </w:rPr>
              <w:t>取得</w:t>
            </w:r>
            <w:r>
              <w:rPr>
                <w:rFonts w:ascii="仿宋" w:hAnsi="仿宋" w:eastAsia="仿宋" w:cs="仿宋"/>
                <w:szCs w:val="21"/>
              </w:rPr>
              <w:t>了安全设施设计的批复（</w:t>
            </w:r>
            <w:r>
              <w:rPr>
                <w:rFonts w:hint="eastAsia" w:ascii="仿宋" w:hAnsi="仿宋" w:eastAsia="仿宋" w:cs="仿宋"/>
                <w:szCs w:val="21"/>
              </w:rPr>
              <w:t>渝应急非煤复</w:t>
            </w:r>
            <w:r>
              <w:rPr>
                <w:rFonts w:ascii="仿宋" w:hAnsi="仿宋" w:eastAsia="仿宋" w:cs="仿宋"/>
                <w:szCs w:val="21"/>
              </w:rPr>
              <w:t>﹝202</w:t>
            </w:r>
            <w:r>
              <w:rPr>
                <w:rFonts w:hint="eastAsia" w:ascii="仿宋" w:hAnsi="仿宋" w:eastAsia="仿宋" w:cs="仿宋"/>
                <w:szCs w:val="21"/>
              </w:rPr>
              <w:t>2</w:t>
            </w:r>
            <w:r>
              <w:rPr>
                <w:rFonts w:ascii="仿宋" w:hAnsi="仿宋" w:eastAsia="仿宋" w:cs="仿宋"/>
                <w:szCs w:val="21"/>
              </w:rPr>
              <w:t>﹞94号）</w:t>
            </w:r>
            <w:r>
              <w:rPr>
                <w:rFonts w:hint="eastAsia" w:ascii="仿宋" w:hAnsi="仿宋" w:eastAsia="仿宋" w:cs="仿宋"/>
                <w:szCs w:val="21"/>
              </w:rPr>
              <w:t>和建设施工的函</w:t>
            </w:r>
            <w:r>
              <w:rPr>
                <w:rFonts w:ascii="仿宋" w:hAnsi="仿宋" w:eastAsia="仿宋" w:cs="仿宋"/>
                <w:szCs w:val="21"/>
              </w:rPr>
              <w:t>（</w:t>
            </w:r>
            <w:r>
              <w:rPr>
                <w:rFonts w:hint="eastAsia" w:ascii="仿宋" w:hAnsi="仿宋" w:eastAsia="仿宋" w:cs="仿宋"/>
                <w:szCs w:val="21"/>
              </w:rPr>
              <w:t>合川应急函</w:t>
            </w:r>
            <w:r>
              <w:rPr>
                <w:rFonts w:ascii="仿宋" w:hAnsi="仿宋" w:eastAsia="仿宋" w:cs="仿宋"/>
                <w:szCs w:val="21"/>
              </w:rPr>
              <w:t>﹝202</w:t>
            </w:r>
            <w:r>
              <w:rPr>
                <w:rFonts w:hint="eastAsia" w:ascii="仿宋" w:hAnsi="仿宋" w:eastAsia="仿宋" w:cs="仿宋"/>
                <w:szCs w:val="21"/>
              </w:rPr>
              <w:t>1</w:t>
            </w:r>
            <w:r>
              <w:rPr>
                <w:rFonts w:ascii="仿宋" w:hAnsi="仿宋" w:eastAsia="仿宋" w:cs="仿宋"/>
                <w:szCs w:val="21"/>
              </w:rPr>
              <w:t>﹞62号）。</w:t>
            </w:r>
          </w:p>
          <w:p>
            <w:pPr>
              <w:adjustRightInd w:val="0"/>
              <w:snapToGrid w:val="0"/>
              <w:spacing w:line="360" w:lineRule="auto"/>
              <w:rPr>
                <w:rFonts w:ascii="仿宋" w:hAnsi="仿宋" w:eastAsia="仿宋" w:cs="仿宋"/>
                <w:szCs w:val="21"/>
              </w:rPr>
            </w:pPr>
            <w:r>
              <w:rPr>
                <w:rFonts w:hint="eastAsia" w:ascii="仿宋" w:hAnsi="仿宋" w:eastAsia="仿宋" w:cs="仿宋"/>
                <w:szCs w:val="21"/>
              </w:rPr>
              <w:t>经过一段时间的建设后，企业基本完成了矿山开拓运输系统等设施的建设。</w:t>
            </w:r>
          </w:p>
          <w:p>
            <w:pPr>
              <w:pStyle w:val="2"/>
              <w:rPr>
                <w:rFonts w:hint="eastAsia"/>
              </w:rPr>
            </w:pPr>
            <w:r>
              <w:drawing>
                <wp:inline distT="0" distB="0" distL="114300" distR="114300">
                  <wp:extent cx="3810000" cy="22860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810000" cy="228600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color w:val="000000"/>
                <w:szCs w:val="21"/>
              </w:rPr>
            </w:pPr>
            <w:r>
              <w:rPr>
                <w:rFonts w:hint="eastAsia" w:ascii="仿宋" w:hAnsi="仿宋" w:eastAsia="仿宋"/>
                <w:color w:val="000000"/>
                <w:szCs w:val="21"/>
              </w:rPr>
              <w:t>现场开展工作情况</w:t>
            </w:r>
          </w:p>
        </w:tc>
        <w:tc>
          <w:tcPr>
            <w:tcW w:w="2174"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vAlign w:val="center"/>
          </w:tcPr>
          <w:p>
            <w:pPr>
              <w:spacing w:line="500" w:lineRule="exact"/>
              <w:jc w:val="center"/>
              <w:rPr>
                <w:rFonts w:ascii="仿宋" w:hAnsi="仿宋" w:eastAsia="仿宋"/>
                <w:color w:val="000000"/>
                <w:szCs w:val="21"/>
              </w:rPr>
            </w:pPr>
          </w:p>
        </w:tc>
        <w:tc>
          <w:tcPr>
            <w:tcW w:w="2174"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vAlign w:val="center"/>
          </w:tcPr>
          <w:p>
            <w:pPr>
              <w:pStyle w:val="3"/>
              <w:spacing w:before="0" w:line="240" w:lineRule="exact"/>
              <w:ind w:left="0"/>
              <w:jc w:val="center"/>
              <w:rPr>
                <w:rFonts w:cs="仿宋"/>
                <w:spacing w:val="-14"/>
                <w:sz w:val="21"/>
                <w:szCs w:val="21"/>
                <w:lang w:eastAsia="zh-CN"/>
              </w:rPr>
            </w:pPr>
            <w:r>
              <w:rPr>
                <w:rFonts w:hint="eastAsia" w:cs="仿宋"/>
                <w:spacing w:val="-14"/>
                <w:sz w:val="21"/>
                <w:szCs w:val="21"/>
                <w:lang w:eastAsia="zh-CN"/>
              </w:rPr>
              <w:t>202</w:t>
            </w:r>
            <w:r>
              <w:rPr>
                <w:rFonts w:cs="仿宋"/>
                <w:spacing w:val="-14"/>
                <w:sz w:val="21"/>
                <w:szCs w:val="21"/>
                <w:lang w:eastAsia="zh-CN"/>
              </w:rPr>
              <w:t>2</w:t>
            </w:r>
            <w:r>
              <w:rPr>
                <w:rFonts w:hint="eastAsia" w:cs="仿宋"/>
                <w:spacing w:val="-14"/>
                <w:sz w:val="21"/>
                <w:szCs w:val="21"/>
                <w:lang w:eastAsia="zh-CN"/>
              </w:rPr>
              <w:t>年</w:t>
            </w:r>
            <w:r>
              <w:rPr>
                <w:rFonts w:cs="仿宋"/>
                <w:spacing w:val="-14"/>
                <w:sz w:val="21"/>
                <w:szCs w:val="21"/>
                <w:lang w:eastAsia="zh-CN"/>
              </w:rPr>
              <w:t>12</w:t>
            </w:r>
            <w:r>
              <w:rPr>
                <w:rFonts w:hint="eastAsia" w:cs="仿宋"/>
                <w:spacing w:val="-14"/>
                <w:sz w:val="21"/>
                <w:szCs w:val="21"/>
                <w:lang w:eastAsia="zh-CN"/>
              </w:rPr>
              <w:t>月</w:t>
            </w:r>
            <w:r>
              <w:rPr>
                <w:rFonts w:cs="仿宋"/>
                <w:spacing w:val="-14"/>
                <w:sz w:val="21"/>
                <w:szCs w:val="21"/>
                <w:lang w:eastAsia="zh-CN"/>
              </w:rPr>
              <w:t>8</w:t>
            </w:r>
            <w:r>
              <w:rPr>
                <w:rFonts w:hint="eastAsia" w:cs="仿宋"/>
                <w:spacing w:val="-14"/>
                <w:sz w:val="21"/>
                <w:szCs w:val="21"/>
                <w:lang w:eastAsia="zh-CN"/>
              </w:rPr>
              <w:t>日</w:t>
            </w:r>
          </w:p>
        </w:tc>
        <w:tc>
          <w:tcPr>
            <w:tcW w:w="1226" w:type="dxa"/>
            <w:gridSpan w:val="2"/>
            <w:vAlign w:val="center"/>
          </w:tcPr>
          <w:p>
            <w:pPr>
              <w:spacing w:line="400" w:lineRule="exact"/>
              <w:rPr>
                <w:rFonts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vAlign w:val="center"/>
          </w:tcPr>
          <w:p>
            <w:pPr>
              <w:spacing w:line="400" w:lineRule="exact"/>
              <w:jc w:val="center"/>
              <w:rPr>
                <w:rFonts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vAlign w:val="center"/>
          </w:tcPr>
          <w:p>
            <w:pPr>
              <w:spacing w:line="500" w:lineRule="exact"/>
              <w:jc w:val="center"/>
              <w:rPr>
                <w:rFonts w:ascii="仿宋" w:hAnsi="仿宋" w:eastAsia="仿宋"/>
                <w:b/>
                <w:color w:val="000000"/>
                <w:szCs w:val="21"/>
              </w:rPr>
            </w:pPr>
          </w:p>
        </w:tc>
        <w:tc>
          <w:tcPr>
            <w:tcW w:w="2174" w:type="dxa"/>
            <w:gridSpan w:val="2"/>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罗青海</w:t>
            </w:r>
          </w:p>
        </w:tc>
        <w:tc>
          <w:tcPr>
            <w:tcW w:w="2034" w:type="dxa"/>
            <w:gridSpan w:val="3"/>
            <w:vAlign w:val="center"/>
          </w:tcPr>
          <w:p>
            <w:pPr>
              <w:spacing w:line="300" w:lineRule="exact"/>
              <w:jc w:val="center"/>
              <w:rPr>
                <w:rFonts w:ascii="仿宋" w:hAnsi="仿宋" w:eastAsia="仿宋"/>
                <w:b/>
                <w:szCs w:val="21"/>
              </w:rPr>
            </w:pPr>
            <w:r>
              <w:rPr>
                <w:rFonts w:hint="eastAsia" w:ascii="仿宋" w:hAnsi="仿宋" w:eastAsia="仿宋" w:cs="仿宋"/>
                <w:spacing w:val="-14"/>
                <w:szCs w:val="21"/>
              </w:rPr>
              <w:t>202</w:t>
            </w:r>
            <w:r>
              <w:rPr>
                <w:rFonts w:ascii="仿宋" w:hAnsi="仿宋" w:eastAsia="仿宋" w:cs="仿宋"/>
                <w:spacing w:val="-14"/>
                <w:szCs w:val="21"/>
              </w:rPr>
              <w:t>2</w:t>
            </w:r>
            <w:r>
              <w:rPr>
                <w:rFonts w:hint="eastAsia" w:ascii="仿宋" w:hAnsi="仿宋" w:eastAsia="仿宋" w:cs="仿宋"/>
                <w:spacing w:val="-14"/>
                <w:szCs w:val="21"/>
              </w:rPr>
              <w:t>年</w:t>
            </w:r>
            <w:r>
              <w:rPr>
                <w:rFonts w:ascii="仿宋" w:hAnsi="仿宋" w:eastAsia="仿宋" w:cs="仿宋"/>
                <w:spacing w:val="-14"/>
                <w:szCs w:val="21"/>
              </w:rPr>
              <w:t>12</w:t>
            </w:r>
            <w:r>
              <w:rPr>
                <w:rFonts w:hint="eastAsia" w:ascii="仿宋" w:hAnsi="仿宋" w:eastAsia="仿宋" w:cs="仿宋"/>
                <w:spacing w:val="-14"/>
                <w:szCs w:val="21"/>
              </w:rPr>
              <w:t>月</w:t>
            </w:r>
            <w:r>
              <w:rPr>
                <w:rFonts w:ascii="仿宋" w:hAnsi="仿宋" w:eastAsia="仿宋" w:cs="仿宋"/>
                <w:spacing w:val="-14"/>
                <w:szCs w:val="21"/>
              </w:rPr>
              <w:t>8</w:t>
            </w:r>
            <w:r>
              <w:rPr>
                <w:rFonts w:hint="eastAsia" w:ascii="仿宋" w:hAnsi="仿宋" w:eastAsia="仿宋" w:cs="仿宋"/>
                <w:spacing w:val="-14"/>
                <w:szCs w:val="21"/>
              </w:rPr>
              <w:t>日</w:t>
            </w:r>
          </w:p>
        </w:tc>
        <w:tc>
          <w:tcPr>
            <w:tcW w:w="1226" w:type="dxa"/>
            <w:gridSpan w:val="2"/>
            <w:vAlign w:val="center"/>
          </w:tcPr>
          <w:p>
            <w:pPr>
              <w:spacing w:line="400" w:lineRule="exact"/>
              <w:rPr>
                <w:rFonts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vAlign w:val="center"/>
          </w:tcPr>
          <w:p>
            <w:pPr>
              <w:spacing w:line="400" w:lineRule="exact"/>
              <w:jc w:val="center"/>
              <w:rPr>
                <w:rFonts w:ascii="仿宋" w:hAnsi="仿宋" w:eastAsia="仿宋" w:cs="仿宋"/>
                <w:color w:val="000000"/>
                <w:szCs w:val="21"/>
              </w:rPr>
            </w:pPr>
            <w:r>
              <w:rPr>
                <w:rFonts w:hint="eastAsia" w:ascii="仿宋" w:hAnsi="仿宋" w:eastAsia="仿宋" w:cs="仿宋"/>
                <w:color w:val="000000"/>
                <w:szCs w:val="21"/>
              </w:rPr>
              <w:t>见《现场勘查记录》</w:t>
            </w: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083058B1"/>
    <w:rsid w:val="083058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240" w:lineRule="atLeast"/>
      <w:ind w:firstLine="420"/>
    </w:pPr>
    <w:rPr>
      <w:rFonts w:ascii="宋体"/>
    </w:r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2023-02-02T03:13:00Z</dcterms:created>
  <dc:creator>雷楠</dc:creator>
  <cp:lastModifiedBy>雷楠</cp:lastModifiedBy>
  <dcterms:modified xsi:type="dcterms:W3CDTF">2023-02-02T03:13:17Z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10B195E2FEC541E3BED99DDCCB04329B</vt:lpwstr>
  </property>
</Properties>
</file>