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8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133"/>
        <w:gridCol w:w="364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中国航油集团贵州石油有限公司机场加油站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中国航油集团贵州石油有限公司机场加油站安全现状评价报告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0" w:firstLineChars="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bookmarkStart w:id="0" w:name="OLE_LINK6"/>
            <w:r>
              <w:rPr>
                <w:rFonts w:hint="eastAsia" w:ascii="仿宋" w:hAnsi="仿宋" w:eastAsia="仿宋"/>
                <w:szCs w:val="21"/>
              </w:rPr>
              <w:t>危险化学品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朱继红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余兆鸿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朱继红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席  刚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余兆鸿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035915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唐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波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化工机械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田祖伟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安全工程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何文勋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安全工程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雷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楠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电气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孟萌萌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电气专业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</w:rPr>
              <w:t>刘文娟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自动化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皓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化工机械</w:t>
            </w:r>
          </w:p>
        </w:tc>
        <w:tc>
          <w:tcPr>
            <w:tcW w:w="24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bookmarkStart w:id="1" w:name="OLE_LINK1"/>
            <w:bookmarkStart w:id="2" w:name="OLE_LINK9"/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中国航油集团贵州石油有限公司机场加油站（以下简称“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加油站”）位于贵州双龙航空港经济区龙洞堡国际机场2号路西出口[双龙区]，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企业类型：有限责任公司分公司(自然人投资或控股)，负责人为杨小波。机场加油站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由中国航油集团贵州石油有限公司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投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资建设和运营，主要从事0#柴油、92#汽油、95#汽油的储存经营。</w:t>
            </w:r>
          </w:p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加油站用地面积为2324m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，总建筑面积648.58m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。站房建筑面积383.44m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；网架罩棚262.5m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（投影面积525m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加油区设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3台4枪加油机，共计12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把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油枪。其中，1台四枪（0#/0#/92#/92#/）双油品加油机、1台四枪（92#/92#/92#/92#/）单油品加油机、1台四枪（92#/92#/95#/95#/）双油品加油机。储油罐4座设置于罩棚内行车道下，总容积120m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，其中30m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的92#汽油SF双层储罐2座、30m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的95#汽油SF双层储罐1座、30m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的0#柴油SF双层储罐1座，油品容量（柴油折半计入）共105m</w:t>
            </w:r>
            <w:r>
              <w:rPr>
                <w:rFonts w:hint="eastAsia" w:ascii="仿宋" w:hAnsi="仿宋" w:eastAsia="仿宋" w:cs="仿宋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，属于二级加油站。</w:t>
            </w:r>
            <w:bookmarkEnd w:id="1"/>
          </w:p>
          <w:bookmarkEnd w:id="2"/>
          <w:p>
            <w:pPr>
              <w:spacing w:line="240" w:lineRule="auto"/>
              <w:ind w:firstLine="420" w:firstLineChars="200"/>
              <w:jc w:val="left"/>
              <w:rPr>
                <w:rFonts w:hint="eastAsia" w:ascii="仿宋" w:hAnsi="仿宋" w:eastAsia="仿宋" w:cs="仿宋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lang w:val="zh-CN" w:eastAsia="zh-CN"/>
              </w:rPr>
              <w:t>现场勘察照片：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838575" cy="24574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75" cy="2457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朱继红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2023.8.11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现场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勘查、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指导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widowControl/>
              <w:numPr>
                <w:ilvl w:val="-1"/>
                <w:numId w:val="0"/>
              </w:numPr>
              <w:spacing w:line="240" w:lineRule="auto"/>
              <w:ind w:leftChars="10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余兆鸿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</w:p>
        </w:tc>
        <w:tc>
          <w:tcPr>
            <w:tcW w:w="239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2023.8.11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现场勘查、记录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43726"/>
    <w:rsid w:val="44843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next w:val="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报告正文"/>
    <w:basedOn w:val="5"/>
    <w:qFormat/>
    <w:uiPriority w:val="0"/>
    <w:rPr>
      <w:rFonts w:ascii="宋体" w:hAnsi="宋体" w:cs="Times New Roman"/>
      <w:color w:val="000000"/>
      <w:sz w:val="28"/>
      <w:szCs w:val="28"/>
    </w:rPr>
  </w:style>
  <w:style w:type="paragraph" w:styleId="5">
    <w:name w:val="Body Text First Indent"/>
    <w:basedOn w:val="6"/>
    <w:next w:val="1"/>
    <w:qFormat/>
    <w:uiPriority w:val="0"/>
    <w:pPr>
      <w:ind w:firstLine="420" w:firstLineChars="100"/>
    </w:pPr>
  </w:style>
  <w:style w:type="paragraph" w:styleId="6">
    <w:name w:val="Body Text"/>
    <w:basedOn w:val="1"/>
    <w:next w:val="7"/>
    <w:semiHidden/>
    <w:qFormat/>
    <w:uiPriority w:val="0"/>
    <w:pPr>
      <w:adjustRightInd/>
      <w:snapToGrid/>
      <w:spacing w:line="240" w:lineRule="auto"/>
      <w:ind w:firstLine="0" w:firstLineChars="0"/>
      <w:jc w:val="left"/>
    </w:pPr>
    <w:rPr>
      <w:rFonts w:eastAsia="仿宋_GB2312"/>
      <w:sz w:val="32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2024-01-15T06:31:00Z</dcterms:created>
  <dc:creator>雷楠</dc:creator>
  <cp:lastModifiedBy>雷楠</cp:lastModifiedBy>
  <dcterms:modified xsi:type="dcterms:W3CDTF">2024-01-15T06:31:53Z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