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委托单位</w:t>
            </w:r>
          </w:p>
        </w:tc>
        <w:tc>
          <w:tcPr>
            <w:tcW w:w="8572" w:type="dxa"/>
            <w:gridSpan w:val="1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重庆市起大建材有限公司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项目名称</w:t>
            </w:r>
          </w:p>
        </w:tc>
        <w:tc>
          <w:tcPr>
            <w:tcW w:w="8572" w:type="dxa"/>
            <w:gridSpan w:val="12"/>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重庆市起大建材有限公司许家村采石场建筑石料用灰岩矿（改建重大变更）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项目类别</w:t>
            </w:r>
          </w:p>
        </w:tc>
        <w:tc>
          <w:tcPr>
            <w:tcW w:w="8572" w:type="dxa"/>
            <w:gridSpan w:val="1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tcPr>
          <w:p>
            <w:pPr>
              <w:spacing w:line="400" w:lineRule="exact"/>
              <w:jc w:val="center"/>
              <w:rPr>
                <w:rFonts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000000"/>
                <w:szCs w:val="21"/>
              </w:rPr>
            </w:pPr>
          </w:p>
        </w:tc>
        <w:tc>
          <w:tcPr>
            <w:tcW w:w="2987"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罗青海</w:t>
            </w:r>
          </w:p>
        </w:tc>
        <w:tc>
          <w:tcPr>
            <w:tcW w:w="2073"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年</w:t>
            </w:r>
            <w:r>
              <w:rPr>
                <w:rFonts w:ascii="仿宋" w:hAnsi="仿宋" w:eastAsia="仿宋" w:cs="仿宋"/>
                <w:color w:val="000000"/>
                <w:spacing w:val="-14"/>
                <w:szCs w:val="21"/>
              </w:rPr>
              <w:t>1</w:t>
            </w:r>
            <w:r>
              <w:rPr>
                <w:rFonts w:hint="eastAsia" w:ascii="仿宋" w:hAnsi="仿宋" w:eastAsia="仿宋" w:cs="仿宋"/>
                <w:color w:val="000000"/>
                <w:spacing w:val="-14"/>
                <w:szCs w:val="21"/>
              </w:rPr>
              <w:t>月</w:t>
            </w:r>
          </w:p>
        </w:tc>
        <w:tc>
          <w:tcPr>
            <w:tcW w:w="2169" w:type="dxa"/>
            <w:gridSpan w:val="4"/>
            <w:vAlign w:val="center"/>
          </w:tcPr>
          <w:p>
            <w:pPr>
              <w:spacing w:line="500" w:lineRule="exact"/>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lang w:eastAsia="zh-CN"/>
              </w:rPr>
              <w:t>李治友</w:t>
            </w:r>
          </w:p>
        </w:tc>
        <w:tc>
          <w:tcPr>
            <w:tcW w:w="2156"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注册证号</w:t>
            </w:r>
          </w:p>
        </w:tc>
        <w:tc>
          <w:tcPr>
            <w:tcW w:w="1663" w:type="dxa"/>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55180172489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罗青海</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vAlign w:val="center"/>
          </w:tcPr>
          <w:p>
            <w:pPr>
              <w:jc w:val="center"/>
              <w:rPr>
                <w:rFonts w:ascii="仿宋_GB2312" w:hAnsi="仿宋_GB2312" w:eastAsia="仿宋_GB2312" w:cs="仿宋_GB2312"/>
                <w:color w:val="000000"/>
                <w:sz w:val="24"/>
                <w:szCs w:val="24"/>
              </w:rPr>
            </w:pPr>
            <w:r>
              <w:rPr>
                <w:rFonts w:ascii="仿宋" w:hAnsi="仿宋" w:eastAsia="仿宋" w:cs="仿宋"/>
                <w:color w:val="000000"/>
                <w:szCs w:val="21"/>
              </w:rPr>
              <w:t>55200257985</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19220313492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55180193792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刘  陶</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037350</w:t>
            </w:r>
          </w:p>
        </w:tc>
        <w:tc>
          <w:tcPr>
            <w:tcW w:w="2662" w:type="dxa"/>
            <w:gridSpan w:val="5"/>
            <w:vAlign w:val="center"/>
          </w:tcPr>
          <w:p>
            <w:pPr>
              <w:jc w:val="center"/>
              <w:rPr>
                <w:rFonts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vAlign w:val="center"/>
          </w:tcPr>
          <w:p>
            <w:pPr>
              <w:jc w:val="center"/>
              <w:rPr>
                <w:rFonts w:cs="仿宋"/>
                <w:color w:val="000000"/>
                <w:szCs w:val="21"/>
              </w:rPr>
            </w:pPr>
            <w:r>
              <w:rPr>
                <w:rFonts w:ascii="仿宋" w:hAnsi="仿宋" w:eastAsia="仿宋" w:cs="仿宋"/>
                <w:color w:val="000000"/>
                <w:szCs w:val="21"/>
              </w:rPr>
              <w:t>019246</w:t>
            </w:r>
          </w:p>
        </w:tc>
        <w:tc>
          <w:tcPr>
            <w:tcW w:w="2662" w:type="dxa"/>
            <w:gridSpan w:val="5"/>
            <w:vAlign w:val="center"/>
          </w:tcPr>
          <w:p>
            <w:pPr>
              <w:jc w:val="center"/>
              <w:rPr>
                <w:rFonts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55070030029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55130140330</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000000"/>
                <w:szCs w:val="21"/>
              </w:rPr>
            </w:pPr>
            <w:r>
              <w:rPr>
                <w:rFonts w:hint="eastAsia" w:ascii="仿宋" w:hAnsi="仿宋" w:eastAsia="仿宋"/>
                <w:b/>
                <w:color w:val="000000"/>
                <w:szCs w:val="21"/>
              </w:rPr>
              <w:t>项目简介</w:t>
            </w:r>
          </w:p>
        </w:tc>
        <w:tc>
          <w:tcPr>
            <w:tcW w:w="8572" w:type="dxa"/>
            <w:gridSpan w:val="12"/>
            <w:vAlign w:val="center"/>
          </w:tcPr>
          <w:p>
            <w:pPr>
              <w:ind w:firstLine="560"/>
              <w:rPr>
                <w:rFonts w:ascii="仿宋" w:hAnsi="仿宋" w:eastAsia="仿宋" w:cs="Arial"/>
                <w:szCs w:val="28"/>
              </w:rPr>
            </w:pPr>
            <w:r>
              <w:rPr>
                <w:rFonts w:hint="eastAsia" w:ascii="仿宋" w:hAnsi="仿宋" w:eastAsia="仿宋" w:cs="Arial"/>
                <w:szCs w:val="28"/>
              </w:rPr>
              <w:t>重庆市起大建材有限公司成立于2011年6月1日，企业统一社会信用代码：91500117576176367C，位于重庆市合川区盐并街道办事处许家村，经济类型属有限责任公司，法定代表人为邹露，经营范围：开采建筑石料用灰岩；建材生产、销售，水泥、石灰石、河沙，干拌砂浆销售等。</w:t>
            </w:r>
          </w:p>
          <w:p>
            <w:pPr>
              <w:ind w:firstLine="560"/>
              <w:rPr>
                <w:rFonts w:ascii="仿宋" w:hAnsi="仿宋" w:eastAsia="仿宋" w:cs="Arial"/>
                <w:szCs w:val="28"/>
              </w:rPr>
            </w:pPr>
            <w:r>
              <w:rPr>
                <w:rFonts w:hint="eastAsia" w:ascii="仿宋" w:hAnsi="仿宋" w:eastAsia="仿宋" w:cs="Arial"/>
                <w:szCs w:val="28"/>
              </w:rPr>
              <w:t>重庆市起大建材有限公司许家村采石场位于重庆市合川区盐井街道许家村七社，采矿许可证号：C5001172012017130123798，有效期为：2020年4月21日至2024年6月21日，开采方式为露天开采，生产规模100万吨/年，开采标高+590m～+535m。安全生产许可证证号：（渝）FM安许证字〔2021〕合川170121号，有效期限自2021年1月25日至2024年1月24日。企业证照齐全，合法有效。</w:t>
            </w:r>
          </w:p>
          <w:p>
            <w:pPr>
              <w:overflowPunct w:val="0"/>
              <w:spacing w:line="276" w:lineRule="auto"/>
              <w:ind w:firstLine="464" w:firstLineChars="221"/>
              <w:rPr>
                <w:rFonts w:ascii="仿宋" w:hAnsi="仿宋" w:eastAsia="仿宋" w:cs="Arial"/>
                <w:color w:val="000000"/>
                <w:szCs w:val="28"/>
              </w:rPr>
            </w:pPr>
            <w:r>
              <w:rPr>
                <w:rFonts w:ascii="仿宋" w:hAnsi="仿宋" w:eastAsia="仿宋" w:cs="Arial"/>
                <w:color w:val="000000"/>
                <w:szCs w:val="28"/>
              </w:rPr>
              <w:t>202</w:t>
            </w:r>
            <w:r>
              <w:rPr>
                <w:rFonts w:hint="eastAsia" w:ascii="仿宋" w:hAnsi="仿宋" w:eastAsia="仿宋" w:cs="Arial"/>
                <w:color w:val="000000"/>
                <w:szCs w:val="28"/>
              </w:rPr>
              <w:t>3</w:t>
            </w:r>
            <w:r>
              <w:rPr>
                <w:rFonts w:ascii="仿宋" w:hAnsi="仿宋" w:eastAsia="仿宋" w:cs="Arial"/>
                <w:color w:val="000000"/>
                <w:szCs w:val="28"/>
              </w:rPr>
              <w:t>年11月，企业委托重庆道尔工程技术有限公司编制了《</w:t>
            </w:r>
            <w:r>
              <w:rPr>
                <w:rFonts w:hint="eastAsia" w:ascii="仿宋" w:hAnsi="仿宋" w:eastAsia="仿宋" w:cs="Arial"/>
                <w:color w:val="000000"/>
                <w:szCs w:val="28"/>
              </w:rPr>
              <w:t>重庆市起大建材有限公司许家村采石场建筑石料用灰岩矿山（改建）安全设施重大变更设计</w:t>
            </w:r>
            <w:r>
              <w:rPr>
                <w:rFonts w:ascii="仿宋" w:hAnsi="仿宋" w:eastAsia="仿宋" w:cs="Arial"/>
                <w:color w:val="000000"/>
                <w:szCs w:val="28"/>
              </w:rPr>
              <w:t>》，取得了重庆市应急管理局</w:t>
            </w:r>
            <w:r>
              <w:rPr>
                <w:rFonts w:hint="eastAsia" w:ascii="仿宋" w:hAnsi="仿宋" w:eastAsia="仿宋" w:cs="Arial"/>
                <w:color w:val="000000"/>
                <w:szCs w:val="28"/>
              </w:rPr>
              <w:t>设计</w:t>
            </w:r>
            <w:r>
              <w:rPr>
                <w:rFonts w:ascii="仿宋" w:hAnsi="仿宋" w:eastAsia="仿宋" w:cs="Arial"/>
                <w:color w:val="000000"/>
                <w:szCs w:val="28"/>
              </w:rPr>
              <w:t>批复（</w:t>
            </w:r>
            <w:r>
              <w:rPr>
                <w:rFonts w:hint="eastAsia" w:ascii="仿宋" w:hAnsi="仿宋" w:eastAsia="仿宋" w:cs="Arial"/>
                <w:color w:val="000000"/>
                <w:szCs w:val="28"/>
              </w:rPr>
              <w:t>渝应急非煤复﹝2023﹞115号</w:t>
            </w:r>
            <w:r>
              <w:rPr>
                <w:rFonts w:ascii="仿宋" w:hAnsi="仿宋" w:eastAsia="仿宋" w:cs="Arial"/>
                <w:color w:val="000000"/>
                <w:szCs w:val="28"/>
              </w:rPr>
              <w:t>）</w:t>
            </w:r>
            <w:r>
              <w:rPr>
                <w:rFonts w:hint="eastAsia" w:ascii="仿宋" w:hAnsi="仿宋" w:eastAsia="仿宋" w:cs="Arial"/>
                <w:color w:val="000000"/>
                <w:szCs w:val="28"/>
              </w:rPr>
              <w:t>，建设工期为</w:t>
            </w:r>
            <w:r>
              <w:rPr>
                <w:rFonts w:ascii="仿宋" w:hAnsi="仿宋" w:eastAsia="仿宋" w:cs="Arial"/>
                <w:color w:val="000000"/>
                <w:szCs w:val="28"/>
              </w:rPr>
              <w:t>2</w:t>
            </w:r>
            <w:r>
              <w:rPr>
                <w:rFonts w:hint="eastAsia" w:ascii="仿宋" w:hAnsi="仿宋" w:eastAsia="仿宋" w:cs="Arial"/>
                <w:color w:val="000000"/>
                <w:szCs w:val="28"/>
              </w:rPr>
              <w:t>个月。</w:t>
            </w:r>
          </w:p>
          <w:p>
            <w:pPr>
              <w:overflowPunct w:val="0"/>
              <w:spacing w:line="276" w:lineRule="auto"/>
              <w:ind w:firstLine="464" w:firstLineChars="221"/>
              <w:rPr>
                <w:rFonts w:ascii="仿宋" w:hAnsi="仿宋" w:eastAsia="仿宋" w:cs="Arial"/>
                <w:color w:val="000000"/>
                <w:szCs w:val="28"/>
              </w:rPr>
            </w:pPr>
            <w:r>
              <w:rPr>
                <w:rFonts w:ascii="仿宋" w:hAnsi="仿宋" w:eastAsia="仿宋" w:cs="Arial"/>
                <w:color w:val="000000"/>
                <w:szCs w:val="28"/>
              </w:rPr>
              <w:t>截止202</w:t>
            </w:r>
            <w:r>
              <w:rPr>
                <w:rFonts w:hint="eastAsia" w:ascii="仿宋" w:hAnsi="仿宋" w:eastAsia="仿宋" w:cs="Arial"/>
                <w:color w:val="000000"/>
                <w:szCs w:val="28"/>
              </w:rPr>
              <w:t>3</w:t>
            </w:r>
            <w:r>
              <w:rPr>
                <w:rFonts w:ascii="仿宋" w:hAnsi="仿宋" w:eastAsia="仿宋" w:cs="Arial"/>
                <w:color w:val="000000"/>
                <w:szCs w:val="28"/>
              </w:rPr>
              <w:t>年12月，重庆市起大建材有限公司按</w:t>
            </w:r>
            <w:r>
              <w:rPr>
                <w:rFonts w:hint="eastAsia" w:ascii="仿宋" w:hAnsi="仿宋" w:eastAsia="仿宋" w:cs="Arial"/>
                <w:color w:val="000000"/>
                <w:szCs w:val="28"/>
              </w:rPr>
              <w:t>安全设施重大变更</w:t>
            </w:r>
            <w:r>
              <w:rPr>
                <w:rFonts w:ascii="仿宋" w:hAnsi="仿宋" w:eastAsia="仿宋" w:cs="Arial"/>
                <w:color w:val="000000"/>
                <w:szCs w:val="28"/>
              </w:rPr>
              <w:t>设计完成了矿山主体工程及安全设施建设，</w:t>
            </w:r>
            <w:r>
              <w:rPr>
                <w:rFonts w:hint="eastAsia" w:ascii="仿宋" w:hAnsi="仿宋" w:eastAsia="仿宋" w:cs="Arial"/>
                <w:color w:val="000000"/>
                <w:szCs w:val="28"/>
              </w:rPr>
              <w:t>各系统运转正常，安全管理制度执行良好，</w:t>
            </w:r>
            <w:r>
              <w:rPr>
                <w:rFonts w:ascii="仿宋" w:hAnsi="仿宋" w:eastAsia="仿宋" w:cs="Arial"/>
                <w:color w:val="000000"/>
                <w:szCs w:val="28"/>
              </w:rPr>
              <w:t>已基本具备安全设施验收条件。</w:t>
            </w:r>
          </w:p>
          <w:p>
            <w:pPr>
              <w:pStyle w:val="2"/>
              <w:rPr>
                <w:b/>
                <w:bCs/>
              </w:rPr>
            </w:pPr>
            <w:r>
              <w:drawing>
                <wp:inline distT="0" distB="0" distL="114300" distR="114300">
                  <wp:extent cx="4803140" cy="2764155"/>
                  <wp:effectExtent l="0" t="0" r="1651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803140" cy="2764155"/>
                          </a:xfrm>
                          <a:prstGeom prst="rect">
                            <a:avLst/>
                          </a:prstGeom>
                          <a:noFill/>
                          <a:ln>
                            <a:noFill/>
                          </a:ln>
                        </pic:spPr>
                      </pic:pic>
                    </a:graphicData>
                  </a:graphic>
                </wp:inline>
              </w:drawing>
            </w:r>
          </w:p>
          <w:p>
            <w:pPr>
              <w:pStyle w:val="2"/>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color w:val="000000"/>
                <w:szCs w:val="21"/>
              </w:rPr>
            </w:pP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3</w:t>
            </w:r>
            <w:r>
              <w:rPr>
                <w:rFonts w:hint="eastAsia" w:cs="仿宋"/>
                <w:spacing w:val="-14"/>
                <w:sz w:val="21"/>
                <w:szCs w:val="21"/>
                <w:lang w:eastAsia="zh-CN"/>
              </w:rPr>
              <w:t>年</w:t>
            </w:r>
            <w:r>
              <w:rPr>
                <w:rFonts w:cs="仿宋"/>
                <w:spacing w:val="-14"/>
                <w:sz w:val="21"/>
                <w:szCs w:val="21"/>
                <w:lang w:eastAsia="zh-CN"/>
              </w:rPr>
              <w:t>12</w:t>
            </w:r>
            <w:r>
              <w:rPr>
                <w:rFonts w:hint="eastAsia" w:cs="仿宋"/>
                <w:spacing w:val="-14"/>
                <w:sz w:val="21"/>
                <w:szCs w:val="21"/>
                <w:lang w:eastAsia="zh-CN"/>
              </w:rPr>
              <w:t>月</w:t>
            </w:r>
            <w:r>
              <w:rPr>
                <w:rFonts w:cs="仿宋"/>
                <w:spacing w:val="-14"/>
                <w:sz w:val="21"/>
                <w:szCs w:val="21"/>
                <w:lang w:eastAsia="zh-CN"/>
              </w:rPr>
              <w:t>13</w:t>
            </w:r>
            <w:r>
              <w:rPr>
                <w:rFonts w:hint="eastAsia" w:cs="仿宋"/>
                <w:spacing w:val="-14"/>
                <w:sz w:val="21"/>
                <w:szCs w:val="21"/>
                <w:lang w:eastAsia="zh-CN"/>
              </w:rPr>
              <w:t>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vAlign w:val="center"/>
          </w:tcPr>
          <w:p>
            <w:pPr>
              <w:spacing w:line="300" w:lineRule="exact"/>
              <w:jc w:val="center"/>
              <w:rPr>
                <w:rFonts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3</w:t>
            </w:r>
            <w:r>
              <w:rPr>
                <w:rFonts w:hint="eastAsia" w:ascii="仿宋" w:hAnsi="仿宋" w:eastAsia="仿宋" w:cs="仿宋"/>
                <w:spacing w:val="-14"/>
                <w:szCs w:val="21"/>
              </w:rPr>
              <w:t>年</w:t>
            </w:r>
            <w:r>
              <w:rPr>
                <w:rFonts w:ascii="仿宋" w:hAnsi="仿宋" w:eastAsia="仿宋" w:cs="仿宋"/>
                <w:spacing w:val="-14"/>
                <w:szCs w:val="21"/>
              </w:rPr>
              <w:t>12</w:t>
            </w:r>
            <w:r>
              <w:rPr>
                <w:rFonts w:hint="eastAsia" w:ascii="仿宋" w:hAnsi="仿宋" w:eastAsia="仿宋" w:cs="仿宋"/>
                <w:spacing w:val="-14"/>
                <w:szCs w:val="21"/>
              </w:rPr>
              <w:t>月</w:t>
            </w:r>
            <w:r>
              <w:rPr>
                <w:rFonts w:ascii="仿宋" w:hAnsi="仿宋" w:eastAsia="仿宋" w:cs="仿宋"/>
                <w:spacing w:val="-14"/>
                <w:szCs w:val="21"/>
              </w:rPr>
              <w:t>13</w:t>
            </w:r>
            <w:r>
              <w:rPr>
                <w:rFonts w:hint="eastAsia" w:ascii="仿宋" w:hAnsi="仿宋" w:eastAsia="仿宋" w:cs="仿宋"/>
                <w:spacing w:val="-14"/>
                <w:szCs w:val="21"/>
              </w:rPr>
              <w:t>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EF057A"/>
    <w:rsid w:val="13EF05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2024-01-19T06:31:00Z</dcterms:created>
  <dc:creator>雷楠</dc:creator>
  <cp:lastModifiedBy>雷楠</cp:lastModifiedBy>
  <dcterms:modified xsi:type="dcterms:W3CDTF">2024-01-19T06:31:31Z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