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重庆姜家龙石矿业有限公司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重庆姜家龙石矿业有限公司姜家镇白云山村草棚湾石灰岩矿安全预评价报告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710" w:type="dxa"/>
            <w:gridSpan w:val="5"/>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陈兴勇、刘陶</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2023.12</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孙文豪</w:t>
            </w:r>
          </w:p>
        </w:tc>
        <w:tc>
          <w:tcPr>
            <w:tcW w:w="1698"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5"/>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5"/>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lang w:val="en-US" w:eastAsia="zh-CN"/>
              </w:rPr>
              <w:t>重庆姜家龙石矿业有限公司成立于2016年11月29日，公司地址位于重庆市巴南区姜家镇白云山村草棚湾 ，企业类型为有限责任公司，法定代表人为张顺勉，经营范围包括石灰岩露天开采、加工、销售等。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lang w:val="en-US" w:eastAsia="zh-CN"/>
              </w:rPr>
              <w:t>重庆姜家龙石矿业有限公司于2022年1月26日取得新的采矿许可证，矿山采矿许可证证号：C5001132009117120041669，生产规模400万t/a，开采标高+471m至+330m，矿区面积0.6065km2，有效期：2018年12月19日—2039年8月19日。矿山目前处于正常生产状态。</w:t>
            </w:r>
          </w:p>
          <w:p>
            <w:pPr>
              <w:pStyle w:val="2"/>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lang w:eastAsia="zh-CN"/>
              </w:rPr>
            </w:pPr>
            <w:r>
              <w:rPr>
                <w:rFonts w:hint="eastAsia"/>
                <w:lang w:eastAsia="zh-CN"/>
              </w:rPr>
              <w:t>现场勘察照片：</w:t>
            </w:r>
          </w:p>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textAlignment w:val="auto"/>
              <w:rPr>
                <w:rFonts w:hint="eastAsia" w:eastAsia="宋体"/>
                <w:lang w:eastAsia="zh-CN"/>
              </w:rPr>
            </w:pPr>
          </w:p>
          <w:p>
            <w:pPr>
              <w:pStyle w:val="6"/>
              <w:keepNext w:val="0"/>
              <w:keepLines w:val="0"/>
              <w:pageBreakBefore w:val="0"/>
              <w:widowControl w:val="0"/>
              <w:kinsoku/>
              <w:wordWrap/>
              <w:overflowPunct/>
              <w:topLinePunct w:val="0"/>
              <w:autoSpaceDE/>
              <w:autoSpaceDN/>
              <w:bidi w:val="0"/>
              <w:adjustRightInd/>
              <w:snapToGrid/>
              <w:spacing w:line="240" w:lineRule="auto"/>
              <w:ind w:left="102" w:firstLine="0" w:firstLineChars="0"/>
              <w:textAlignment w:val="auto"/>
              <w:rPr>
                <w:rFonts w:hint="eastAsia" w:eastAsia="仿宋"/>
                <w:lang w:eastAsia="zh-CN"/>
              </w:rPr>
            </w:pPr>
            <w:r>
              <w:drawing>
                <wp:inline distT="0" distB="0" distL="114300" distR="114300">
                  <wp:extent cx="5081905" cy="3817620"/>
                  <wp:effectExtent l="0" t="0" r="4445"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81905" cy="38176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11</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18</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刘  陶</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11</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18</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5A6094"/>
    <w:rsid w:val="3A5A60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footer"/>
    <w:basedOn w:val="3"/>
    <w:next w:val="6"/>
    <w:qFormat/>
    <w:uiPriority w:val="0"/>
    <w:pPr>
      <w:tabs>
        <w:tab w:val="center" w:pos="4153"/>
        <w:tab w:val="right" w:pos="8306"/>
      </w:tabs>
      <w:snapToGrid w:val="0"/>
      <w:jc w:val="left"/>
    </w:pPr>
    <w:rPr>
      <w:sz w:val="18"/>
    </w:rPr>
  </w:style>
  <w:style w:type="paragraph" w:customStyle="1" w:styleId="3">
    <w:name w:val="正文1"/>
    <w:basedOn w:val="4"/>
    <w:qFormat/>
    <w:uiPriority w:val="0"/>
    <w:pPr>
      <w:spacing w:line="360" w:lineRule="auto"/>
      <w:ind w:firstLine="200" w:firstLineChars="200"/>
    </w:pPr>
    <w:rPr>
      <w:rFonts w:ascii="宋体" w:hAnsi="宋体"/>
      <w:sz w:val="24"/>
      <w:szCs w:val="24"/>
    </w:rPr>
  </w:style>
  <w:style w:type="paragraph" w:styleId="4">
    <w:name w:val="Body Text Indent"/>
    <w:basedOn w:val="1"/>
    <w:next w:val="5"/>
    <w:qFormat/>
    <w:uiPriority w:val="0"/>
    <w:pPr>
      <w:ind w:firstLine="555"/>
    </w:pPr>
    <w:rPr>
      <w:sz w:val="28"/>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customStyle="1" w:styleId="6">
    <w:name w:val="报告正文"/>
    <w:basedOn w:val="7"/>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7">
    <w:name w:val="Body Text First Indent"/>
    <w:basedOn w:val="5"/>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2024-01-18T07:39:00Z</dcterms:created>
  <dc:creator>雷楠</dc:creator>
  <cp:lastModifiedBy>雷楠</cp:lastModifiedBy>
  <dcterms:modified xsi:type="dcterms:W3CDTF">2024-01-18T07:39:57Z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