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</w:pPr>
      <w:bookmarkStart w:id="0" w:name="_Toc27661"/>
      <w:bookmarkStart w:id="1" w:name="_Toc24090"/>
      <w:bookmarkStart w:id="2" w:name="_Toc16246"/>
      <w:bookmarkStart w:id="3" w:name="_Toc29322"/>
      <w:bookmarkStart w:id="4" w:name="_Toc16094"/>
      <w:r>
        <w:rPr>
          <w:rFonts w:hint="eastAsia" w:ascii="宋体" w:hAnsi="宋体" w:cs="宋体"/>
          <w:b/>
          <w:color w:val="000000" w:themeColor="text1"/>
          <w:sz w:val="28"/>
          <w14:textFill>
            <w14:solidFill>
              <w14:schemeClr w14:val="tx1"/>
            </w14:solidFill>
          </w14:textFill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67"/>
        <w:gridCol w:w="430"/>
        <w:gridCol w:w="813"/>
        <w:gridCol w:w="551"/>
        <w:gridCol w:w="1507"/>
        <w:gridCol w:w="389"/>
        <w:gridCol w:w="2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5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中国航油集团重庆石油有限公司熊家坝油库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52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现状评价    □验收评价   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ind w:firstLine="2310" w:firstLineChars="1100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2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蒋平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石油工程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S011053000110202001809/030718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张圣菊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37150168124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林 波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55190209531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高胡容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kern w:val="0"/>
                <w:szCs w:val="21"/>
              </w:rPr>
              <w:t>雷  楠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S011053000110193002251</w:t>
            </w: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035553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张郑平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电气工程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S011053000110192003137/035874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李 伟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1800000000201223/020783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唐 波</w:t>
            </w:r>
          </w:p>
        </w:tc>
        <w:tc>
          <w:tcPr>
            <w:tcW w:w="1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S011053000110192003004/035894</w:t>
            </w:r>
          </w:p>
        </w:tc>
        <w:tc>
          <w:tcPr>
            <w:tcW w:w="18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自动化（仪表）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1700000000201153/019235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冯 皓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pacing w:val="5"/>
                <w:szCs w:val="21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国航油集团重庆石油有限公司熊家坝油库（以下简称：熊家坝油库）始建于1987年，2022年3月4日注册成为分公司，经营场所位于重庆市渝北区双龙胡街道鹿山社区13社，负责人为李鹏。熊家坝油库现有3座10000m³航空煤油储罐，另有2座80m³沉淀罐，1座25m³埋地罐。根据《石油库设计规范》（GB50074-2014）第3.0.1条，熊家坝油库储罐计算总容量为30185m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Arial" w:hAnsi="Arial" w:cs="Arial"/>
                <w:snapToGrid w:val="0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，属于二级石油库。</w:t>
            </w:r>
          </w:p>
          <w:p>
            <w:pPr>
              <w:adjustRightInd w:val="0"/>
              <w:snapToGrid w:val="0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ascii="宋体" w:hAnsi="宋体" w:cs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drawing>
                <wp:inline distT="0" distB="0" distL="114300" distR="114300">
                  <wp:extent cx="3200400" cy="3839210"/>
                  <wp:effectExtent l="0" t="0" r="0" b="889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3839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蒋平、张圣菊</w:t>
            </w: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2023.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现场和资料</w:t>
            </w:r>
          </w:p>
        </w:tc>
        <w:tc>
          <w:tcPr>
            <w:tcW w:w="3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  <w:docVar w:name="KSO_WPS_MARK_KEY" w:val="b5c27de5-96a4-4e65-b4b0-192c60d513e5"/>
  </w:docVars>
  <w:rsids>
    <w:rsidRoot w:val="668940E8"/>
    <w:rsid w:val="6689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tabs>
        <w:tab w:val="left" w:pos="540"/>
        <w:tab w:val="left" w:pos="1800"/>
      </w:tabs>
      <w:spacing w:line="500" w:lineRule="exact"/>
      <w:ind w:firstLine="420"/>
    </w:pPr>
    <w:rPr>
      <w:rFonts w:ascii="Times New Roman" w:hAnsi="Times New Roman"/>
    </w:rPr>
  </w:style>
  <w:style w:type="paragraph" w:styleId="3">
    <w:name w:val="Body Text Indent"/>
    <w:basedOn w:val="1"/>
    <w:next w:val="4"/>
    <w:semiHidden/>
    <w:unhideWhenUsed/>
    <w:qFormat/>
    <w:uiPriority w:val="99"/>
    <w:pPr>
      <w:spacing w:after="120"/>
      <w:ind w:left="420" w:leftChars="200"/>
    </w:pPr>
  </w:style>
  <w:style w:type="paragraph" w:styleId="4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530</Words>
  <Characters>930</Characters>
  <Lines>0</Lines>
  <Paragraphs>0</Paragraphs>
  <TotalTime>0</TotalTime>
  <ScaleCrop>false</ScaleCrop>
  <LinksUpToDate>false</LinksUpToDate>
  <CharactersWithSpaces>950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2024-02-01T02:50:00Z</dcterms:created>
  <dc:creator>雷楠</dc:creator>
  <cp:lastModifiedBy>雷楠</cp:lastModifiedBy>
  <dcterms:modified xsi:type="dcterms:W3CDTF">2024-02-01T02:50:23Z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86C3A0A2E95C48B5A056A681ABCDFB45_11</vt:lpwstr>
  </property>
</Properties>
</file>