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311"/>
        <w:gridCol w:w="1287"/>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0"/>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重庆合川盐化工业有限公司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0"/>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重庆合川盐化工业有限公司大石盐矿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0"/>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9"/>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1"/>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2023.12</w:t>
            </w:r>
          </w:p>
        </w:tc>
        <w:tc>
          <w:tcPr>
            <w:tcW w:w="2169" w:type="dxa"/>
            <w:gridSpan w:val="3"/>
            <w:noWrap w:val="0"/>
            <w:vAlign w:val="center"/>
          </w:tcPr>
          <w:p>
            <w:pPr>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3"/>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机械专业</w:t>
            </w:r>
          </w:p>
        </w:tc>
        <w:tc>
          <w:tcPr>
            <w:tcW w:w="2073" w:type="dxa"/>
            <w:gridSpan w:val="3"/>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026317</w:t>
            </w:r>
          </w:p>
        </w:tc>
        <w:tc>
          <w:tcPr>
            <w:tcW w:w="2662"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spacing w:line="400" w:lineRule="exact"/>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安全专业</w:t>
            </w:r>
          </w:p>
        </w:tc>
        <w:tc>
          <w:tcPr>
            <w:tcW w:w="2073" w:type="dxa"/>
            <w:gridSpan w:val="3"/>
            <w:noWrap w:val="0"/>
            <w:vAlign w:val="center"/>
          </w:tcPr>
          <w:p>
            <w:pPr>
              <w:spacing w:line="400" w:lineRule="exact"/>
              <w:jc w:val="center"/>
              <w:rPr>
                <w:rFonts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030480</w:t>
            </w:r>
          </w:p>
        </w:tc>
        <w:tc>
          <w:tcPr>
            <w:tcW w:w="2662"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地质专业</w:t>
            </w:r>
          </w:p>
        </w:tc>
        <w:tc>
          <w:tcPr>
            <w:tcW w:w="2073" w:type="dxa"/>
            <w:gridSpan w:val="3"/>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033483</w:t>
            </w:r>
          </w:p>
        </w:tc>
        <w:tc>
          <w:tcPr>
            <w:tcW w:w="2662" w:type="dxa"/>
            <w:gridSpan w:val="4"/>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55220312402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通风专业</w:t>
            </w:r>
          </w:p>
        </w:tc>
        <w:tc>
          <w:tcPr>
            <w:tcW w:w="2073" w:type="dxa"/>
            <w:gridSpan w:val="3"/>
            <w:noWrap w:val="0"/>
            <w:vAlign w:val="center"/>
          </w:tcPr>
          <w:p>
            <w:pPr>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037349</w:t>
            </w:r>
          </w:p>
        </w:tc>
        <w:tc>
          <w:tcPr>
            <w:tcW w:w="2662" w:type="dxa"/>
            <w:gridSpan w:val="4"/>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4"/>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3"/>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4"/>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刘  陶</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3"/>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037350</w:t>
            </w:r>
          </w:p>
        </w:tc>
        <w:tc>
          <w:tcPr>
            <w:tcW w:w="2662" w:type="dxa"/>
            <w:gridSpan w:val="4"/>
            <w:noWrap w:val="0"/>
            <w:vAlign w:val="center"/>
          </w:tcPr>
          <w:p>
            <w:pPr>
              <w:widowControl/>
              <w:spacing w:line="400" w:lineRule="exact"/>
              <w:jc w:val="center"/>
              <w:rPr>
                <w:rFonts w:hint="eastAsia" w:ascii="仿宋_GB2312" w:hAnsi="仿宋_GB2312" w:eastAsia="仿宋_GB2312" w:cs="仿宋_GB2312"/>
                <w:color w:val="000000"/>
                <w:kern w:val="0"/>
                <w:szCs w:val="21"/>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4"/>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4"/>
            <w:noWrap w:val="0"/>
            <w:vAlign w:val="center"/>
          </w:tcPr>
          <w:p>
            <w:pPr>
              <w:widowControl/>
              <w:spacing w:line="400" w:lineRule="exact"/>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bl>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br w:type="page"/>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2174"/>
        <w:gridCol w:w="2034"/>
        <w:gridCol w:w="1226"/>
        <w:gridCol w:w="3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5"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4"/>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重庆合川盐化工业有限公司成立于1996年09月08日，法定代表人魏兵，经济类型：有限责任公司，位于重庆市合川区南办处花园路2666号（重庆市合川工业园区南溪片区），经营范围：非食用盐生产、加工，非食用盐销售。统一社会信用代码：91500117203643380M。</w:t>
            </w:r>
          </w:p>
          <w:p>
            <w:pPr>
              <w:pStyle w:val="2"/>
              <w:snapToGrid w:val="0"/>
              <w:spacing w:before="0"/>
              <w:ind w:left="0" w:firstLine="420" w:firstLineChars="200"/>
              <w:rPr>
                <w:rFonts w:hint="eastAsia"/>
                <w:sz w:val="21"/>
                <w:szCs w:val="21"/>
                <w:lang w:eastAsia="zh-CN"/>
              </w:rPr>
            </w:pPr>
            <w:r>
              <w:rPr>
                <w:rFonts w:hint="eastAsia"/>
                <w:sz w:val="21"/>
                <w:szCs w:val="21"/>
                <w:lang w:eastAsia="zh-CN"/>
              </w:rPr>
              <w:t>重庆合川盐化工业有限公司大石盐矿位于合川区大石镇，生产规模为60万t/a，地下开采岩盐。建矿初期采用钻井水溶单井对流和自然连通生产工艺，后期采用水平对接井连通采卤的开采方法。</w:t>
            </w:r>
          </w:p>
          <w:p>
            <w:pPr>
              <w:pStyle w:val="2"/>
              <w:snapToGrid w:val="0"/>
              <w:spacing w:before="0"/>
              <w:ind w:left="0" w:firstLine="420" w:firstLineChars="200"/>
              <w:rPr>
                <w:rFonts w:hint="eastAsia"/>
                <w:sz w:val="21"/>
                <w:szCs w:val="21"/>
                <w:lang w:eastAsia="zh-CN"/>
              </w:rPr>
            </w:pPr>
            <w:r>
              <w:rPr>
                <w:rFonts w:hint="eastAsia"/>
                <w:sz w:val="21"/>
                <w:szCs w:val="21"/>
                <w:lang w:eastAsia="zh-CN"/>
              </w:rPr>
              <w:t>原安全许可登记表的备案编号：合川非煤安许备字〔2020〕第1号。</w:t>
            </w:r>
          </w:p>
          <w:p>
            <w:pPr>
              <w:pStyle w:val="2"/>
              <w:snapToGrid w:val="0"/>
              <w:spacing w:before="0"/>
              <w:ind w:left="0" w:firstLine="420" w:firstLineChars="200"/>
              <w:rPr>
                <w:rFonts w:hint="eastAsia"/>
                <w:sz w:val="21"/>
                <w:szCs w:val="21"/>
                <w:lang w:eastAsia="zh-CN"/>
              </w:rPr>
            </w:pPr>
            <w:r>
              <w:rPr>
                <w:rFonts w:hint="eastAsia"/>
                <w:sz w:val="21"/>
                <w:szCs w:val="21"/>
                <w:lang w:eastAsia="zh-CN"/>
              </w:rPr>
              <w:t>根据《中华人民共和国安全生产法》、《中华人民共和国矿山安全法》和《安全生产许可证条例》等相关法律、法规的规定，矿山企业每三年应进行一次安全评价。为此，重庆合川盐化工业有限公司委托我公司对大石盐矿进行安全现状评价。</w:t>
            </w:r>
          </w:p>
          <w:p>
            <w:pPr>
              <w:pStyle w:val="2"/>
              <w:snapToGrid w:val="0"/>
              <w:spacing w:before="0"/>
              <w:rPr>
                <w:lang w:eastAsia="zh-CN"/>
              </w:rPr>
            </w:pPr>
            <w:r>
              <w:drawing>
                <wp:inline distT="0" distB="0" distL="114300" distR="114300">
                  <wp:extent cx="3686810" cy="2788285"/>
                  <wp:effectExtent l="0" t="0" r="889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686810" cy="2788285"/>
                          </a:xfrm>
                          <a:prstGeom prst="rect">
                            <a:avLst/>
                          </a:prstGeom>
                          <a:noFill/>
                          <a:ln>
                            <a:noFill/>
                          </a:ln>
                        </pic:spPr>
                      </pic:pic>
                    </a:graphicData>
                  </a:graphic>
                </wp:inline>
              </w:drawing>
            </w:r>
            <w:r>
              <w:drawing>
                <wp:inline distT="0" distB="0" distL="114300" distR="114300">
                  <wp:extent cx="3667760" cy="3529965"/>
                  <wp:effectExtent l="0" t="0" r="8890"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3667760" cy="352996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2023年11月1日</w:t>
            </w:r>
          </w:p>
        </w:tc>
        <w:tc>
          <w:tcPr>
            <w:tcW w:w="1226"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2023年11月1日</w:t>
            </w:r>
          </w:p>
        </w:tc>
        <w:tc>
          <w:tcPr>
            <w:tcW w:w="1226"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044B6E"/>
    <w:rsid w:val="48044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2024-01-23T06:38:00Z</dcterms:created>
  <dc:creator>雷楠</dc:creator>
  <cp:lastModifiedBy>雷楠</cp:lastModifiedBy>
  <dcterms:modified xsi:type="dcterms:W3CDTF">2024-01-23T06:38:19Z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