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460" w:lineRule="exact"/>
              <w:jc w:val="center"/>
              <w:rPr>
                <w:rFonts w:ascii="仿宋" w:hAnsi="仿宋" w:eastAsia="仿宋"/>
                <w:szCs w:val="21"/>
              </w:rPr>
            </w:pPr>
            <w:r>
              <w:rPr>
                <w:rFonts w:hint="eastAsia" w:ascii="仿宋" w:hAnsi="仿宋" w:eastAsia="仿宋"/>
                <w:szCs w:val="21"/>
              </w:rPr>
              <w:t>国家管网集团西南管道有限责任公司兰州输油气分公司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ind w:right="159"/>
              <w:rPr>
                <w:rFonts w:ascii="仿宋" w:hAnsi="仿宋" w:eastAsia="仿宋"/>
                <w:bCs/>
                <w:szCs w:val="21"/>
              </w:rPr>
            </w:pPr>
            <w:r>
              <w:rPr>
                <w:rFonts w:hint="eastAsia" w:ascii="仿宋" w:hAnsi="仿宋" w:eastAsia="仿宋"/>
                <w:szCs w:val="21"/>
              </w:rPr>
              <w:t>国家管网集团西南管道有限责任公司兰州输油气分公司兰成管道k179+400m渭河段线路治理工程安全评价报告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MS Mincho" w:hAnsi="MS Mincho" w:eastAsia="MS Mincho" w:cs="MS Mincho"/>
                <w:szCs w:val="21"/>
              </w:rPr>
              <w:t>☑</w:t>
            </w: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管道运输业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460" w:lineRule="exact"/>
              <w:jc w:val="center"/>
              <w:rPr>
                <w:rFonts w:ascii="仿宋" w:hAnsi="仿宋" w:eastAsia="仿宋"/>
                <w:szCs w:val="21"/>
              </w:rPr>
            </w:pPr>
            <w:r>
              <w:rPr>
                <w:rFonts w:hint="eastAsia" w:ascii="仿宋" w:hAnsi="仿宋" w:eastAsia="仿宋"/>
                <w:szCs w:val="21"/>
              </w:rPr>
              <w:t>赵长军</w:t>
            </w:r>
          </w:p>
        </w:tc>
        <w:tc>
          <w:tcPr>
            <w:tcW w:w="2710" w:type="dxa"/>
            <w:gridSpan w:val="6"/>
            <w:vAlign w:val="center"/>
          </w:tcPr>
          <w:p>
            <w:pPr>
              <w:spacing w:line="460" w:lineRule="exact"/>
              <w:jc w:val="center"/>
              <w:rPr>
                <w:rFonts w:ascii="仿宋" w:hAnsi="仿宋" w:eastAsia="仿宋"/>
                <w:szCs w:val="21"/>
              </w:rPr>
            </w:pPr>
            <w:r>
              <w:rPr>
                <w:rFonts w:hint="eastAsia" w:ascii="仿宋" w:hAnsi="仿宋" w:eastAsia="仿宋"/>
                <w:szCs w:val="21"/>
              </w:rPr>
              <w:t>陈美宝</w:t>
            </w:r>
          </w:p>
        </w:tc>
        <w:tc>
          <w:tcPr>
            <w:tcW w:w="2875" w:type="dxa"/>
            <w:gridSpan w:val="3"/>
            <w:vAlign w:val="center"/>
          </w:tcPr>
          <w:p>
            <w:pPr>
              <w:spacing w:line="46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460" w:lineRule="exact"/>
              <w:jc w:val="center"/>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460" w:lineRule="exact"/>
              <w:jc w:val="center"/>
              <w:rPr>
                <w:rFonts w:hint="default" w:ascii="仿宋" w:hAnsi="仿宋" w:eastAsia="仿宋"/>
                <w:szCs w:val="21"/>
                <w:lang w:val="en-US" w:eastAsia="zh-CN"/>
              </w:rPr>
            </w:pPr>
            <w:r>
              <w:rPr>
                <w:rFonts w:hint="eastAsia" w:ascii="仿宋" w:hAnsi="仿宋" w:eastAsia="仿宋"/>
                <w:szCs w:val="21"/>
                <w:lang w:val="en-US" w:eastAsia="zh-CN"/>
              </w:rPr>
              <w:t>2024.3</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李晓斌</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bCs/>
                <w:szCs w:val="21"/>
              </w:rPr>
              <w:t>赵长军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S011032000110202000930</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1700000000301781</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刘菊梅</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1500000000100202</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55080052961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易安柯</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管道运输业</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S011053000110193002441</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雷 楠</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S011053000110193002251</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宋体" w:hAnsi="宋体"/>
                <w:sz w:val="24"/>
              </w:rPr>
            </w:pPr>
            <w:r>
              <w:rPr>
                <w:rFonts w:hint="eastAsia" w:ascii="仿宋" w:hAnsi="仿宋" w:eastAsia="仿宋" w:cs="宋体"/>
                <w:kern w:val="0"/>
                <w:szCs w:val="21"/>
              </w:rPr>
              <w:t>唐波</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ascii="仿宋" w:hAnsi="仿宋" w:eastAsia="仿宋" w:cs="宋体"/>
                <w:kern w:val="0"/>
                <w:szCs w:val="21"/>
              </w:rPr>
              <w:t>S011053000110192003004</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化学工程与工艺</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_GB2312" w:hAnsi="仿宋_GB2312" w:eastAsia="仿宋_GB2312" w:cs="仿宋_GB2312"/>
                <w:color w:val="000000"/>
                <w:kern w:val="0"/>
                <w:sz w:val="24"/>
                <w:szCs w:val="24"/>
                <w:lang w:bidi="ar"/>
              </w:rPr>
              <w:t>1800000000301313</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陈美宝</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1500000000100116</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55090076429</w:t>
            </w:r>
          </w:p>
        </w:tc>
        <w:tc>
          <w:tcPr>
            <w:tcW w:w="1663" w:type="dxa"/>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1600000000201291</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pStyle w:val="3"/>
              <w:ind w:firstLine="0"/>
              <w:rPr>
                <w:rFonts w:ascii="仿宋" w:hAnsi="仿宋" w:eastAsia="仿宋"/>
                <w:szCs w:val="21"/>
              </w:rPr>
            </w:pPr>
            <w:r>
              <w:rPr>
                <w:rFonts w:hint="eastAsia" w:ascii="仿宋" w:hAnsi="仿宋" w:eastAsia="仿宋"/>
                <w:szCs w:val="21"/>
              </w:rPr>
              <w:t>本工程改线总长度947m，一般段线路长度约329m，其中北岸长约78m，南岸长约251m，定向钻穿越段管道长度618m，选用D508×12.7mm L415M（X60M）PSL2直缝埋弧焊钢管，热煨弯管选用D508×12.7mm L415M（X60M）PSL2直缝埋弧焊钢管弯制；管道防腐采用三层结构聚乙烯加强级防腐层；该工程分别于渭河穿越段上下游各设置1个RTU阀室。上游阀室位于陇西县水月坪村甘肃九星世纪农业发展有限公司西北约550m处，距离渭河穿越处约2.75km，阀室（含太阳能设施）永久性征地面积为995.88m2，进站道路永久性征地面积为552.99m2，总计1548.87m2，合2.33亩；下游阀室位于陇西县二十铺村安置房西北约58m处，距离渭河穿越处约1.39km，阀室（含太阳能设施）永久性征地面积为995.88m2，进站道路永久性征地面积为831.00m2，总计1826.19m2，合2.75亩。</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4"/>
              <w:rPr>
                <w:rFonts w:ascii="仿宋" w:hAnsi="仿宋" w:eastAsia="仿宋" w:cs="宋体"/>
                <w:szCs w:val="21"/>
              </w:rPr>
            </w:pPr>
            <w:r>
              <w:drawing>
                <wp:inline distT="0" distB="0" distL="114300" distR="114300">
                  <wp:extent cx="3524250" cy="30956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524250" cy="30956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1"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460" w:lineRule="exact"/>
              <w:jc w:val="center"/>
              <w:rPr>
                <w:rFonts w:ascii="仿宋" w:hAnsi="仿宋" w:eastAsia="仿宋"/>
                <w:szCs w:val="21"/>
              </w:rPr>
            </w:pPr>
            <w:r>
              <w:rPr>
                <w:rFonts w:hint="eastAsia" w:ascii="仿宋" w:hAnsi="仿宋" w:eastAsia="仿宋"/>
                <w:szCs w:val="21"/>
              </w:rPr>
              <w:t>赵长军</w:t>
            </w:r>
          </w:p>
        </w:tc>
        <w:tc>
          <w:tcPr>
            <w:tcW w:w="2622" w:type="dxa"/>
            <w:gridSpan w:val="4"/>
            <w:vMerge w:val="restart"/>
            <w:vAlign w:val="center"/>
          </w:tcPr>
          <w:p>
            <w:pPr>
              <w:spacing w:line="460" w:lineRule="exact"/>
              <w:jc w:val="center"/>
              <w:rPr>
                <w:rFonts w:ascii="仿宋" w:hAnsi="仿宋" w:eastAsia="仿宋"/>
                <w:szCs w:val="21"/>
              </w:rPr>
            </w:pPr>
            <w:r>
              <w:rPr>
                <w:rFonts w:ascii="仿宋" w:hAnsi="仿宋" w:eastAsia="仿宋"/>
                <w:szCs w:val="21"/>
              </w:rPr>
              <w:t>202</w:t>
            </w:r>
            <w:r>
              <w:rPr>
                <w:rFonts w:hint="eastAsia" w:ascii="仿宋" w:hAnsi="仿宋" w:eastAsia="仿宋"/>
                <w:szCs w:val="21"/>
              </w:rPr>
              <w:t>3</w:t>
            </w:r>
            <w:r>
              <w:rPr>
                <w:rFonts w:ascii="仿宋" w:hAnsi="仿宋" w:eastAsia="仿宋"/>
                <w:szCs w:val="21"/>
              </w:rPr>
              <w:t>.</w:t>
            </w:r>
            <w:r>
              <w:rPr>
                <w:rFonts w:hint="eastAsia" w:ascii="仿宋" w:hAnsi="仿宋" w:eastAsia="仿宋"/>
                <w:szCs w:val="21"/>
              </w:rPr>
              <w:t>9.12</w:t>
            </w:r>
          </w:p>
        </w:tc>
        <w:tc>
          <w:tcPr>
            <w:tcW w:w="1226" w:type="dxa"/>
            <w:gridSpan w:val="2"/>
            <w:vMerge w:val="restart"/>
            <w:vAlign w:val="center"/>
          </w:tcPr>
          <w:p>
            <w:pPr>
              <w:spacing w:line="460" w:lineRule="exact"/>
              <w:jc w:val="center"/>
              <w:rPr>
                <w:rFonts w:ascii="仿宋" w:hAnsi="仿宋" w:eastAsia="仿宋"/>
                <w:szCs w:val="21"/>
              </w:rPr>
            </w:pPr>
            <w:r>
              <w:rPr>
                <w:rFonts w:hint="eastAsia" w:ascii="仿宋" w:hAnsi="仿宋" w:eastAsia="仿宋"/>
                <w:szCs w:val="21"/>
              </w:rPr>
              <w:t>兰成渝管道改线段路由、周边环境、自然环境、施工便道等。</w:t>
            </w:r>
          </w:p>
        </w:tc>
        <w:tc>
          <w:tcPr>
            <w:tcW w:w="3138" w:type="dxa"/>
            <w:gridSpan w:val="5"/>
            <w:vMerge w:val="restart"/>
            <w:vAlign w:val="center"/>
          </w:tcPr>
          <w:p>
            <w:pPr>
              <w:spacing w:line="460" w:lineRule="exact"/>
              <w:ind w:right="159"/>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460" w:lineRule="exact"/>
              <w:jc w:val="center"/>
              <w:rPr>
                <w:rFonts w:ascii="仿宋" w:hAnsi="仿宋" w:eastAsia="仿宋"/>
                <w:szCs w:val="21"/>
              </w:rPr>
            </w:pPr>
            <w:r>
              <w:rPr>
                <w:rFonts w:hint="eastAsia" w:ascii="仿宋" w:hAnsi="仿宋" w:eastAsia="仿宋"/>
                <w:szCs w:val="21"/>
              </w:rPr>
              <w:t>李俊强</w:t>
            </w:r>
          </w:p>
        </w:tc>
        <w:tc>
          <w:tcPr>
            <w:tcW w:w="2622" w:type="dxa"/>
            <w:gridSpan w:val="4"/>
            <w:vMerge w:val="continue"/>
            <w:vAlign w:val="center"/>
          </w:tcPr>
          <w:p>
            <w:pPr>
              <w:spacing w:line="300" w:lineRule="exact"/>
              <w:jc w:val="center"/>
              <w:rPr>
                <w:rFonts w:ascii="仿宋" w:hAnsi="仿宋" w:eastAsia="仿宋"/>
                <w:b/>
                <w:szCs w:val="21"/>
              </w:rPr>
            </w:pPr>
          </w:p>
        </w:tc>
        <w:tc>
          <w:tcPr>
            <w:tcW w:w="1226" w:type="dxa"/>
            <w:gridSpan w:val="2"/>
            <w:vMerge w:val="continue"/>
            <w:vAlign w:val="center"/>
          </w:tcPr>
          <w:p>
            <w:pPr>
              <w:spacing w:line="300" w:lineRule="exact"/>
              <w:jc w:val="center"/>
              <w:rPr>
                <w:rFonts w:ascii="仿宋" w:hAnsi="仿宋" w:eastAsia="仿宋"/>
                <w:b/>
                <w:szCs w:val="21"/>
              </w:rPr>
            </w:pPr>
          </w:p>
        </w:tc>
        <w:tc>
          <w:tcPr>
            <w:tcW w:w="3138" w:type="dxa"/>
            <w:gridSpan w:val="5"/>
            <w:vMerge w:val="continue"/>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roman"/>
    <w:pitch w:val="default"/>
    <w:sig w:usb0="E00002FF" w:usb1="6AC7FDFB" w:usb2="00000012" w:usb3="00000000" w:csb0="4002009F" w:csb1="DFD70000"/>
  </w:font>
  <w:font w:name="仿宋_GB2312">
    <w:altName w:val="仿宋"/>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D332A3"/>
    <w:rsid w:val="53D33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4"/>
    <w:basedOn w:val="1"/>
    <w:next w:val="1"/>
    <w:qFormat/>
    <w:uiPriority w:val="0"/>
    <w:pPr>
      <w:keepNext/>
      <w:keepLines/>
      <w:spacing w:line="360" w:lineRule="auto"/>
      <w:outlineLvl w:val="3"/>
    </w:pPr>
    <w:rPr>
      <w:rFonts w:ascii="Arial" w:hAnsi="Arial"/>
      <w:bCs/>
      <w:szCs w:val="28"/>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pPr>
  </w:style>
  <w:style w:type="paragraph" w:styleId="4">
    <w:name w:val="endnote text"/>
    <w:basedOn w:val="1"/>
    <w:unhideWhenUsed/>
    <w:qFormat/>
    <w:uiPriority w:val="0"/>
    <w:pPr>
      <w:snapToGrid w:val="0"/>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2024-03-29T09:24:00Z</dcterms:created>
  <dc:creator>雷楠</dc:creator>
  <cp:lastModifiedBy>雷楠</cp:lastModifiedBy>
  <dcterms:modified xsi:type="dcterms:W3CDTF">2024-03-29T09:24:47Z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