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818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重庆市万州区富源矿业有限公司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万州区新田镇幸家村三组建筑石料用灰岩矿（扩建）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3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12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李治友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312402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026313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55190209582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205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</w:t>
            </w:r>
            <w:r>
              <w:rPr>
                <w:rFonts w:hint="eastAsia" w:ascii="仿宋" w:hAnsi="仿宋" w:eastAsia="仿宋" w:cs="Arial"/>
                <w:szCs w:val="28"/>
              </w:rPr>
              <w:t>重庆市万州区富源矿业有限公司成立于2003年6月6日，统一社会信用代码91500101750073225B，位于重庆市万州区新田镇幸家村，经济类型为有限责任公司，法人代表朱茂林，经营范围包括矿产资源（非煤矿山）开采、建筑用石加工、销售石灰石、白云石及制品等。</w:t>
            </w:r>
          </w:p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该公司所属</w:t>
            </w:r>
            <w:r>
              <w:rPr>
                <w:rFonts w:ascii="仿宋" w:hAnsi="仿宋" w:eastAsia="仿宋" w:cs="Arial"/>
                <w:szCs w:val="28"/>
              </w:rPr>
              <w:t>万州区新田镇幸家村三组石灰岩矿</w:t>
            </w:r>
            <w:r>
              <w:rPr>
                <w:rFonts w:hint="eastAsia" w:ascii="仿宋" w:hAnsi="仿宋" w:eastAsia="仿宋" w:cs="Arial"/>
                <w:szCs w:val="28"/>
              </w:rPr>
              <w:t>位于重庆市</w:t>
            </w:r>
            <w:r>
              <w:rPr>
                <w:rFonts w:ascii="仿宋" w:hAnsi="仿宋" w:eastAsia="仿宋" w:cs="Arial"/>
                <w:szCs w:val="28"/>
              </w:rPr>
              <w:t>万州区新田镇幸家村三组</w:t>
            </w:r>
            <w:r>
              <w:rPr>
                <w:rFonts w:hint="eastAsia" w:ascii="仿宋" w:hAnsi="仿宋" w:eastAsia="仿宋" w:cs="Arial"/>
                <w:szCs w:val="28"/>
              </w:rPr>
              <w:t>，矿区范围由</w:t>
            </w:r>
            <w:r>
              <w:rPr>
                <w:rFonts w:ascii="仿宋" w:hAnsi="仿宋" w:eastAsia="仿宋" w:cs="Arial"/>
                <w:szCs w:val="28"/>
              </w:rPr>
              <w:t>6</w:t>
            </w:r>
            <w:r>
              <w:rPr>
                <w:rFonts w:hint="eastAsia" w:ascii="仿宋" w:hAnsi="仿宋" w:eastAsia="仿宋" w:cs="Arial"/>
                <w:szCs w:val="28"/>
              </w:rPr>
              <w:t>个拐点闭合圈定，矿区面积0.</w:t>
            </w:r>
            <w:r>
              <w:rPr>
                <w:rFonts w:ascii="仿宋" w:hAnsi="仿宋" w:eastAsia="仿宋" w:cs="Arial"/>
                <w:szCs w:val="28"/>
              </w:rPr>
              <w:t>041</w:t>
            </w:r>
            <w:r>
              <w:rPr>
                <w:rFonts w:hint="eastAsia" w:ascii="仿宋" w:hAnsi="仿宋" w:eastAsia="仿宋" w:cs="Arial"/>
                <w:szCs w:val="28"/>
              </w:rPr>
              <w:t>km</w:t>
            </w:r>
            <w:r>
              <w:rPr>
                <w:rFonts w:hint="eastAsia" w:ascii="仿宋" w:hAnsi="仿宋" w:eastAsia="仿宋" w:cs="Arial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Arial"/>
                <w:szCs w:val="28"/>
              </w:rPr>
              <w:t>，开采标高+</w:t>
            </w:r>
            <w:r>
              <w:rPr>
                <w:rFonts w:ascii="仿宋" w:hAnsi="仿宋" w:eastAsia="仿宋" w:cs="Arial"/>
                <w:szCs w:val="28"/>
              </w:rPr>
              <w:t>910</w:t>
            </w:r>
            <w:r>
              <w:rPr>
                <w:rFonts w:hint="eastAsia" w:ascii="仿宋" w:hAnsi="仿宋" w:eastAsia="仿宋" w:cs="Arial"/>
                <w:szCs w:val="28"/>
              </w:rPr>
              <w:t>m～+</w:t>
            </w:r>
            <w:r>
              <w:rPr>
                <w:rFonts w:ascii="仿宋" w:hAnsi="仿宋" w:eastAsia="仿宋" w:cs="Arial"/>
                <w:szCs w:val="28"/>
              </w:rPr>
              <w:t>840</w:t>
            </w:r>
            <w:r>
              <w:rPr>
                <w:rFonts w:hint="eastAsia" w:ascii="仿宋" w:hAnsi="仿宋" w:eastAsia="仿宋" w:cs="Arial"/>
                <w:szCs w:val="28"/>
              </w:rPr>
              <w:t>m，生产规模为</w:t>
            </w:r>
            <w:r>
              <w:rPr>
                <w:rFonts w:ascii="仿宋" w:hAnsi="仿宋" w:eastAsia="仿宋" w:cs="Arial"/>
                <w:szCs w:val="28"/>
              </w:rPr>
              <w:t>2</w:t>
            </w:r>
            <w:r>
              <w:rPr>
                <w:rFonts w:hint="eastAsia" w:ascii="仿宋" w:hAnsi="仿宋" w:eastAsia="仿宋" w:cs="Arial"/>
                <w:szCs w:val="28"/>
              </w:rPr>
              <w:t>0万吨/年，露天开采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建筑石料用灰岩</w:t>
            </w:r>
            <w:r>
              <w:rPr>
                <w:rFonts w:hint="eastAsia" w:ascii="仿宋" w:hAnsi="仿宋" w:eastAsia="仿宋" w:cs="Arial"/>
                <w:szCs w:val="28"/>
              </w:rPr>
              <w:t>。矿山因资源即将枯竭，已向重庆市万州区规资局申请增划资源并扩大生产规模至1</w:t>
            </w:r>
            <w:r>
              <w:rPr>
                <w:rFonts w:ascii="仿宋" w:hAnsi="仿宋" w:eastAsia="仿宋" w:cs="Arial"/>
                <w:szCs w:val="28"/>
              </w:rPr>
              <w:t>00</w:t>
            </w:r>
            <w:r>
              <w:rPr>
                <w:rFonts w:hint="eastAsia" w:ascii="仿宋" w:hAnsi="仿宋" w:eastAsia="仿宋" w:cs="Arial"/>
                <w:szCs w:val="28"/>
              </w:rPr>
              <w:t>万吨/年，项目属于扩建性质。</w:t>
            </w:r>
          </w:p>
          <w:p>
            <w:pPr>
              <w:adjustRightInd w:val="0"/>
              <w:snapToGrid w:val="0"/>
              <w:spacing w:line="276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根据《建设项目安全设施“三同时”监督管理办法》等有关规定，矿山建设项目应按扩建性质履行建设项目安全设施 “三同时”程序。</w:t>
            </w:r>
            <w:r>
              <w:rPr>
                <w:rFonts w:hint="eastAsia" w:ascii="仿宋" w:hAnsi="仿宋" w:eastAsia="仿宋" w:cs="仿宋"/>
                <w:szCs w:val="21"/>
              </w:rPr>
              <w:t>鉴于此，重庆市万州区富源矿业有限公司于202</w:t>
            </w:r>
            <w:r>
              <w:rPr>
                <w:rFonts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ascii="仿宋" w:hAnsi="仿宋" w:eastAsia="仿宋" w:cs="仿宋"/>
                <w:szCs w:val="21"/>
              </w:rPr>
              <w:t>11</w:t>
            </w:r>
            <w:r>
              <w:rPr>
                <w:rFonts w:hint="eastAsia" w:ascii="仿宋" w:hAnsi="仿宋" w:eastAsia="仿宋" w:cs="仿宋"/>
                <w:szCs w:val="21"/>
              </w:rPr>
              <w:t>月委托重庆市安全生产科学研究有限公司对该矿山进行安全预评价。</w:t>
            </w:r>
          </w:p>
          <w:p>
            <w:pPr>
              <w:pStyle w:val="2"/>
              <w:ind w:firstLine="24"/>
            </w:pPr>
            <w:r>
              <w:drawing>
                <wp:inline distT="0" distB="0" distL="114300" distR="114300">
                  <wp:extent cx="4067175" cy="30099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eastAsia="Times New Roman"/>
                <w:snapToGrid w:val="0"/>
                <w:color w:val="000000"/>
                <w:w w:val="0"/>
                <w:kern w:val="0"/>
                <w:sz w:val="0"/>
                <w:szCs w:val="0"/>
                <w:u w:val="none" w:color="000000"/>
                <w:shd w:val="clear" w:color="000000" w:fill="00000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3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11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13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年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11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月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13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1F19D7"/>
    <w:rsid w:val="051F1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  <w:sz w:val="21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2024-01-08T08:55:00Z</dcterms:created>
  <dc:creator>雷楠</dc:creator>
  <cp:lastModifiedBy>雷楠</cp:lastModifiedBy>
  <dcterms:modified xsi:type="dcterms:W3CDTF">2024-01-08T08:55:54Z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