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160"/>
        <w:gridCol w:w="33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机构名称</w:t>
            </w:r>
          </w:p>
        </w:tc>
        <w:tc>
          <w:tcPr>
            <w:tcW w:w="3936" w:type="dxa"/>
            <w:gridSpan w:val="5"/>
            <w:noWrap w:val="0"/>
            <w:vAlign w:val="center"/>
          </w:tcPr>
          <w:p>
            <w:pPr>
              <w:widowControl/>
              <w:jc w:val="center"/>
              <w:rPr>
                <w:rFonts w:hint="eastAsia" w:cs="仿宋"/>
                <w:color w:val="000000"/>
                <w:szCs w:val="21"/>
              </w:rPr>
            </w:pPr>
            <w:r>
              <w:rPr>
                <w:rFonts w:hint="eastAsia" w:ascii="仿宋" w:hAnsi="仿宋" w:eastAsia="仿宋" w:cs="仿宋"/>
                <w:color w:val="000000"/>
                <w:szCs w:val="21"/>
              </w:rPr>
              <w:t>重庆市安全生产科学研究有限公司</w:t>
            </w:r>
          </w:p>
        </w:tc>
        <w:tc>
          <w:tcPr>
            <w:tcW w:w="1598"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资质证号</w:t>
            </w:r>
          </w:p>
        </w:tc>
        <w:tc>
          <w:tcPr>
            <w:tcW w:w="3038" w:type="dxa"/>
            <w:gridSpan w:val="4"/>
            <w:noWrap w:val="0"/>
            <w:vAlign w:val="center"/>
          </w:tcPr>
          <w:p>
            <w:pPr>
              <w:widowControl/>
              <w:jc w:val="center"/>
              <w:rPr>
                <w:rFonts w:hint="eastAsia" w:cs="仿宋"/>
                <w:spacing w:val="-14"/>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委托单位</w:t>
            </w:r>
          </w:p>
        </w:tc>
        <w:tc>
          <w:tcPr>
            <w:tcW w:w="8572" w:type="dxa"/>
            <w:gridSpan w:val="13"/>
            <w:noWrap w:val="0"/>
            <w:vAlign w:val="center"/>
          </w:tcPr>
          <w:p>
            <w:pPr>
              <w:widowControl/>
              <w:jc w:val="center"/>
              <w:rPr>
                <w:rFonts w:cs="仿宋"/>
                <w:spacing w:val="-14"/>
                <w:szCs w:val="21"/>
              </w:rPr>
            </w:pPr>
            <w:r>
              <w:rPr>
                <w:rFonts w:hint="eastAsia" w:ascii="仿宋" w:hAnsi="仿宋" w:eastAsia="仿宋" w:cs="仿宋"/>
                <w:color w:val="000000"/>
                <w:szCs w:val="21"/>
              </w:rPr>
              <w:t>重庆天诚鑫矿业有限公司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项目名称</w:t>
            </w:r>
          </w:p>
        </w:tc>
        <w:tc>
          <w:tcPr>
            <w:tcW w:w="8572" w:type="dxa"/>
            <w:gridSpan w:val="1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重庆天诚鑫矿业有限公司垫江县三溪镇箐口张家油房大坡顶建筑石料用灰岩矿</w:t>
            </w:r>
            <w:r>
              <w:rPr>
                <w:rFonts w:ascii="仿宋" w:hAnsi="仿宋" w:eastAsia="仿宋" w:cs="仿宋"/>
                <w:color w:val="000000"/>
                <w:szCs w:val="21"/>
              </w:rPr>
              <w:t>（改建）</w:t>
            </w:r>
          </w:p>
          <w:p>
            <w:pPr>
              <w:widowControl/>
              <w:jc w:val="center"/>
              <w:rPr>
                <w:rFonts w:cs="仿宋"/>
                <w:color w:val="000000"/>
                <w:szCs w:val="21"/>
              </w:rPr>
            </w:pPr>
            <w:r>
              <w:rPr>
                <w:rFonts w:ascii="仿宋" w:hAnsi="仿宋" w:eastAsia="仿宋" w:cs="仿宋"/>
                <w:color w:val="000000"/>
                <w:szCs w:val="21"/>
              </w:rPr>
              <w:t>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项目类别</w:t>
            </w:r>
          </w:p>
        </w:tc>
        <w:tc>
          <w:tcPr>
            <w:tcW w:w="8572" w:type="dxa"/>
            <w:gridSpan w:val="13"/>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pStyle w:val="2"/>
              <w:spacing w:before="0" w:line="240" w:lineRule="exact"/>
              <w:ind w:left="0"/>
              <w:jc w:val="center"/>
              <w:rPr>
                <w:rFonts w:hint="eastAsia" w:cs="仿宋"/>
                <w:color w:val="000000"/>
                <w:szCs w:val="21"/>
              </w:rPr>
            </w:pPr>
            <w:r>
              <w:rPr>
                <w:rFonts w:hint="eastAsia" w:cs="仿宋"/>
                <w:b/>
                <w:spacing w:val="-14"/>
                <w:sz w:val="21"/>
                <w:szCs w:val="21"/>
                <w:lang w:eastAsia="zh-CN"/>
              </w:rPr>
              <w:t>所属业务类别</w:t>
            </w:r>
          </w:p>
        </w:tc>
        <w:tc>
          <w:tcPr>
            <w:tcW w:w="7895" w:type="dxa"/>
            <w:gridSpan w:val="12"/>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noWrap w:val="0"/>
            <w:vAlign w:val="center"/>
          </w:tcPr>
          <w:p>
            <w:pPr>
              <w:pStyle w:val="2"/>
              <w:spacing w:before="0" w:line="240" w:lineRule="exact"/>
              <w:ind w:left="0"/>
              <w:jc w:val="center"/>
              <w:rPr>
                <w:rFonts w:hint="eastAsia" w:cs="仿宋"/>
                <w:b/>
                <w:color w:val="000000"/>
                <w:szCs w:val="21"/>
              </w:rPr>
            </w:pPr>
            <w:r>
              <w:rPr>
                <w:rFonts w:hint="eastAsia" w:cs="仿宋"/>
                <w:b/>
                <w:spacing w:val="-14"/>
                <w:sz w:val="21"/>
                <w:szCs w:val="21"/>
                <w:lang w:eastAsia="zh-CN"/>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安全评价项目管理</w:t>
            </w:r>
          </w:p>
        </w:tc>
        <w:tc>
          <w:tcPr>
            <w:tcW w:w="2987"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项目组组长</w:t>
            </w:r>
          </w:p>
        </w:tc>
        <w:tc>
          <w:tcPr>
            <w:tcW w:w="2710" w:type="dxa"/>
            <w:gridSpan w:val="6"/>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技术负责人</w:t>
            </w:r>
          </w:p>
        </w:tc>
        <w:tc>
          <w:tcPr>
            <w:tcW w:w="2875"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4"/>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编制过程</w:t>
            </w:r>
          </w:p>
        </w:tc>
        <w:tc>
          <w:tcPr>
            <w:tcW w:w="2174"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报告编制人</w:t>
            </w:r>
          </w:p>
        </w:tc>
        <w:tc>
          <w:tcPr>
            <w:tcW w:w="2073"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报告提交日期</w:t>
            </w:r>
          </w:p>
        </w:tc>
        <w:tc>
          <w:tcPr>
            <w:tcW w:w="2169"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报告审核人</w:t>
            </w:r>
          </w:p>
        </w:tc>
        <w:tc>
          <w:tcPr>
            <w:tcW w:w="2156"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3"/>
            <w:noWrap w:val="0"/>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罗青海</w:t>
            </w:r>
          </w:p>
        </w:tc>
        <w:tc>
          <w:tcPr>
            <w:tcW w:w="2073" w:type="dxa"/>
            <w:gridSpan w:val="4"/>
            <w:noWrap w:val="0"/>
            <w:vAlign w:val="center"/>
          </w:tcPr>
          <w:p>
            <w:pPr>
              <w:spacing w:line="360" w:lineRule="auto"/>
              <w:jc w:val="center"/>
              <w:rPr>
                <w:rFonts w:ascii="仿宋" w:hAnsi="仿宋" w:eastAsia="仿宋" w:cs="仿宋"/>
                <w:color w:val="000000"/>
                <w:szCs w:val="21"/>
              </w:rPr>
            </w:pPr>
            <w:r>
              <w:rPr>
                <w:rFonts w:hint="eastAsia" w:ascii="仿宋" w:hAnsi="仿宋" w:eastAsia="仿宋" w:cs="仿宋"/>
                <w:color w:val="000000"/>
                <w:szCs w:val="21"/>
              </w:rPr>
              <w:t>2024年</w:t>
            </w:r>
            <w:r>
              <w:rPr>
                <w:rFonts w:hint="eastAsia" w:ascii="仿宋" w:hAnsi="仿宋" w:eastAsia="仿宋" w:cs="仿宋"/>
                <w:color w:val="000000"/>
                <w:szCs w:val="21"/>
                <w:lang w:val="en-US" w:eastAsia="zh-CN"/>
              </w:rPr>
              <w:t>2</w:t>
            </w:r>
            <w:r>
              <w:rPr>
                <w:rFonts w:hint="eastAsia" w:ascii="仿宋" w:hAnsi="仿宋" w:eastAsia="仿宋" w:cs="仿宋"/>
                <w:color w:val="000000"/>
                <w:szCs w:val="21"/>
              </w:rPr>
              <w:t>月</w:t>
            </w:r>
          </w:p>
        </w:tc>
        <w:tc>
          <w:tcPr>
            <w:tcW w:w="2169" w:type="dxa"/>
            <w:gridSpan w:val="4"/>
            <w:noWrap w:val="0"/>
            <w:vAlign w:val="center"/>
          </w:tcPr>
          <w:p>
            <w:pPr>
              <w:spacing w:line="360" w:lineRule="auto"/>
              <w:jc w:val="center"/>
              <w:rPr>
                <w:rFonts w:hint="eastAsia" w:ascii="仿宋" w:hAnsi="仿宋" w:eastAsia="仿宋" w:cs="仿宋"/>
                <w:color w:val="000000"/>
                <w:szCs w:val="21"/>
                <w:lang w:eastAsia="zh-CN"/>
              </w:rPr>
            </w:pPr>
            <w:r>
              <w:rPr>
                <w:rFonts w:hint="eastAsia" w:ascii="仿宋" w:hAnsi="仿宋" w:eastAsia="仿宋" w:cs="仿宋"/>
                <w:color w:val="000000"/>
                <w:szCs w:val="21"/>
                <w:lang w:eastAsia="zh-CN"/>
              </w:rPr>
              <w:t>李治友</w:t>
            </w:r>
          </w:p>
        </w:tc>
        <w:tc>
          <w:tcPr>
            <w:tcW w:w="2156" w:type="dxa"/>
            <w:gridSpan w:val="2"/>
            <w:noWrap w:val="0"/>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姓  名</w:t>
            </w:r>
          </w:p>
        </w:tc>
        <w:tc>
          <w:tcPr>
            <w:tcW w:w="2174" w:type="dxa"/>
            <w:gridSpan w:val="3"/>
            <w:noWrap w:val="0"/>
            <w:vAlign w:val="center"/>
          </w:tcPr>
          <w:p>
            <w:pPr>
              <w:spacing w:line="300" w:lineRule="exact"/>
              <w:jc w:val="center"/>
              <w:rPr>
                <w:rFonts w:hint="eastAsia" w:ascii="仿宋" w:hAnsi="仿宋" w:eastAsia="仿宋" w:cs="仿宋"/>
                <w:b/>
                <w:spacing w:val="-14"/>
                <w:kern w:val="0"/>
                <w:szCs w:val="21"/>
              </w:rPr>
            </w:pPr>
            <w:r>
              <w:rPr>
                <w:rFonts w:hint="eastAsia" w:ascii="仿宋" w:hAnsi="仿宋" w:eastAsia="仿宋" w:cs="仿宋"/>
                <w:b/>
                <w:spacing w:val="-14"/>
                <w:kern w:val="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罗青海</w:t>
            </w:r>
          </w:p>
        </w:tc>
        <w:tc>
          <w:tcPr>
            <w:tcW w:w="2174" w:type="dxa"/>
            <w:gridSpan w:val="3"/>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55220312402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刘  陶</w:t>
            </w:r>
          </w:p>
        </w:tc>
        <w:tc>
          <w:tcPr>
            <w:tcW w:w="2174" w:type="dxa"/>
            <w:gridSpan w:val="3"/>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037350</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3"/>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019246</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3"/>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3"/>
            <w:noWrap w:val="0"/>
            <w:vAlign w:val="center"/>
          </w:tcPr>
          <w:p>
            <w:pPr>
              <w:adjustRightInd w:val="0"/>
              <w:snapToGrid w:val="0"/>
              <w:spacing w:line="276" w:lineRule="auto"/>
              <w:ind w:left="67" w:leftChars="32" w:right="107" w:rightChars="51" w:firstLine="420" w:firstLineChars="200"/>
              <w:rPr>
                <w:rFonts w:ascii="仿宋" w:hAnsi="仿宋" w:eastAsia="仿宋" w:cs="仿宋"/>
                <w:szCs w:val="21"/>
              </w:rPr>
            </w:pPr>
            <w:r>
              <w:rPr>
                <w:rFonts w:ascii="仿宋" w:hAnsi="仿宋" w:eastAsia="仿宋" w:cs="仿宋"/>
                <w:szCs w:val="21"/>
              </w:rPr>
              <w:t>重庆天诚鑫矿业有限公司成立于2012年10月18日，统一社会信用代码915002310548026230，经济类型为有限责任公司，法定代表人夏宁，营业期限为2012年10月18日至永久，经营范围露天开采建筑石料用灰岩、销售建筑材料等。</w:t>
            </w:r>
          </w:p>
          <w:p>
            <w:pPr>
              <w:adjustRightInd w:val="0"/>
              <w:snapToGrid w:val="0"/>
              <w:spacing w:line="276" w:lineRule="auto"/>
              <w:ind w:left="67" w:leftChars="32" w:right="107" w:rightChars="51" w:firstLine="420" w:firstLineChars="200"/>
              <w:rPr>
                <w:rFonts w:ascii="仿宋" w:hAnsi="仿宋" w:eastAsia="仿宋" w:cs="仿宋"/>
                <w:szCs w:val="21"/>
              </w:rPr>
            </w:pPr>
            <w:r>
              <w:rPr>
                <w:rFonts w:ascii="仿宋" w:hAnsi="仿宋" w:eastAsia="仿宋" w:cs="仿宋"/>
                <w:szCs w:val="21"/>
              </w:rPr>
              <w:t>垫江县三溪镇箐口张家油房大坡顶建筑石料用灰岩矿为该公司所属矿山，采矿许可证号C5002312013067130130929，生产能力510kt/a，有效期限自2020年8月12日至2030年3月12日；安全生产许可证编号：（渝）FM安许证字〔202</w:t>
            </w:r>
            <w:r>
              <w:rPr>
                <w:rFonts w:hint="eastAsia" w:ascii="仿宋" w:hAnsi="仿宋" w:eastAsia="仿宋" w:cs="仿宋"/>
                <w:szCs w:val="21"/>
              </w:rPr>
              <w:t>3</w:t>
            </w:r>
            <w:r>
              <w:rPr>
                <w:rFonts w:ascii="仿宋" w:hAnsi="仿宋" w:eastAsia="仿宋" w:cs="仿宋"/>
                <w:szCs w:val="21"/>
              </w:rPr>
              <w:t>〕垫江延290085号，有效期自202</w:t>
            </w:r>
            <w:r>
              <w:rPr>
                <w:rFonts w:hint="eastAsia" w:ascii="仿宋" w:hAnsi="仿宋" w:eastAsia="仿宋" w:cs="仿宋"/>
                <w:szCs w:val="21"/>
              </w:rPr>
              <w:t>3</w:t>
            </w:r>
            <w:r>
              <w:rPr>
                <w:rFonts w:ascii="仿宋" w:hAnsi="仿宋" w:eastAsia="仿宋" w:cs="仿宋"/>
                <w:szCs w:val="21"/>
              </w:rPr>
              <w:t>年8月</w:t>
            </w:r>
            <w:r>
              <w:rPr>
                <w:rFonts w:hint="eastAsia" w:ascii="仿宋" w:hAnsi="仿宋" w:eastAsia="仿宋" w:cs="仿宋"/>
                <w:szCs w:val="21"/>
              </w:rPr>
              <w:t>19</w:t>
            </w:r>
            <w:r>
              <w:rPr>
                <w:rFonts w:ascii="仿宋" w:hAnsi="仿宋" w:eastAsia="仿宋" w:cs="仿宋"/>
                <w:szCs w:val="21"/>
              </w:rPr>
              <w:t>日至202</w:t>
            </w:r>
            <w:r>
              <w:rPr>
                <w:rFonts w:hint="eastAsia" w:ascii="仿宋" w:hAnsi="仿宋" w:eastAsia="仿宋" w:cs="仿宋"/>
                <w:szCs w:val="21"/>
              </w:rPr>
              <w:t>6</w:t>
            </w:r>
            <w:r>
              <w:rPr>
                <w:rFonts w:ascii="仿宋" w:hAnsi="仿宋" w:eastAsia="仿宋" w:cs="仿宋"/>
                <w:szCs w:val="21"/>
              </w:rPr>
              <w:t>年8月</w:t>
            </w:r>
            <w:r>
              <w:rPr>
                <w:rFonts w:hint="eastAsia" w:ascii="仿宋" w:hAnsi="仿宋" w:eastAsia="仿宋" w:cs="仿宋"/>
                <w:szCs w:val="21"/>
              </w:rPr>
              <w:t>18</w:t>
            </w:r>
            <w:r>
              <w:rPr>
                <w:rFonts w:ascii="仿宋" w:hAnsi="仿宋" w:eastAsia="仿宋" w:cs="仿宋"/>
                <w:szCs w:val="21"/>
              </w:rPr>
              <w:t>日。</w:t>
            </w:r>
          </w:p>
          <w:p>
            <w:pPr>
              <w:adjustRightInd w:val="0"/>
              <w:snapToGrid w:val="0"/>
              <w:spacing w:line="276" w:lineRule="auto"/>
              <w:ind w:left="67" w:leftChars="32" w:right="107" w:rightChars="51" w:firstLine="420" w:firstLineChars="200"/>
              <w:rPr>
                <w:rFonts w:ascii="仿宋" w:hAnsi="仿宋" w:eastAsia="仿宋" w:cs="仿宋"/>
                <w:szCs w:val="21"/>
              </w:rPr>
            </w:pPr>
            <w:r>
              <w:rPr>
                <w:rFonts w:hint="eastAsia" w:ascii="仿宋" w:hAnsi="仿宋" w:eastAsia="仿宋" w:cs="仿宋"/>
                <w:szCs w:val="21"/>
              </w:rPr>
              <w:t>2023年9月，</w:t>
            </w:r>
            <w:r>
              <w:rPr>
                <w:rFonts w:ascii="仿宋" w:hAnsi="仿宋" w:eastAsia="仿宋" w:cs="仿宋"/>
                <w:szCs w:val="21"/>
              </w:rPr>
              <w:t>企业按照</w:t>
            </w:r>
            <w:r>
              <w:rPr>
                <w:rFonts w:hint="eastAsia" w:ascii="仿宋" w:hAnsi="仿宋" w:eastAsia="仿宋" w:cs="仿宋"/>
                <w:szCs w:val="21"/>
              </w:rPr>
              <w:t>改建</w:t>
            </w:r>
            <w:r>
              <w:rPr>
                <w:rFonts w:ascii="仿宋" w:hAnsi="仿宋" w:eastAsia="仿宋" w:cs="仿宋"/>
                <w:szCs w:val="21"/>
              </w:rPr>
              <w:t>性质履行安全设施“三同时”程序，委托重庆市安全生产科学研究有限公司编制了安全预评价；</w:t>
            </w:r>
            <w:r>
              <w:rPr>
                <w:rFonts w:hint="eastAsia" w:ascii="仿宋" w:hAnsi="仿宋" w:eastAsia="仿宋" w:cs="仿宋"/>
                <w:szCs w:val="21"/>
              </w:rPr>
              <w:t>2023年10月，企业委托重庆道尔工程技术有限公司编制了安全设施设计，并取得了重庆市应急管理局下发的设计批复（渝应急非煤复</w:t>
            </w:r>
            <w:r>
              <w:rPr>
                <w:rFonts w:ascii="仿宋" w:hAnsi="仿宋" w:eastAsia="仿宋" w:cs="仿宋"/>
                <w:szCs w:val="21"/>
              </w:rPr>
              <w:t>〔20</w:t>
            </w:r>
            <w:r>
              <w:rPr>
                <w:rFonts w:hint="eastAsia" w:ascii="仿宋" w:hAnsi="仿宋" w:eastAsia="仿宋" w:cs="仿宋"/>
                <w:szCs w:val="21"/>
              </w:rPr>
              <w:t>23</w:t>
            </w:r>
            <w:r>
              <w:rPr>
                <w:rFonts w:ascii="仿宋" w:hAnsi="仿宋" w:eastAsia="仿宋" w:cs="仿宋"/>
                <w:szCs w:val="21"/>
              </w:rPr>
              <w:t>〕</w:t>
            </w:r>
            <w:r>
              <w:rPr>
                <w:rFonts w:hint="eastAsia" w:ascii="仿宋" w:hAnsi="仿宋" w:eastAsia="仿宋" w:cs="仿宋"/>
                <w:szCs w:val="21"/>
              </w:rPr>
              <w:t>107号）。2023年11月7日，企业取得了垫江县应急管理局建设施工批复（垫</w:t>
            </w:r>
            <w:r>
              <w:rPr>
                <w:rFonts w:ascii="仿宋" w:hAnsi="仿宋" w:eastAsia="仿宋" w:cs="仿宋"/>
                <w:szCs w:val="21"/>
              </w:rPr>
              <w:t>应急发〔20</w:t>
            </w:r>
            <w:r>
              <w:rPr>
                <w:rFonts w:hint="eastAsia" w:ascii="仿宋" w:hAnsi="仿宋" w:eastAsia="仿宋" w:cs="仿宋"/>
                <w:szCs w:val="21"/>
              </w:rPr>
              <w:t>23</w:t>
            </w:r>
            <w:r>
              <w:rPr>
                <w:rFonts w:ascii="仿宋" w:hAnsi="仿宋" w:eastAsia="仿宋" w:cs="仿宋"/>
                <w:szCs w:val="21"/>
              </w:rPr>
              <w:t>〕</w:t>
            </w:r>
            <w:r>
              <w:rPr>
                <w:rFonts w:hint="eastAsia" w:ascii="仿宋" w:hAnsi="仿宋" w:eastAsia="仿宋" w:cs="仿宋"/>
                <w:szCs w:val="21"/>
              </w:rPr>
              <w:t>30号），同意矿山进行建设施工，建设工期为5个月，即2023年11月6日至2024年4月5日。在办理完相关手续后，矿山按安全设施设计要求进行建设施工。</w:t>
            </w:r>
          </w:p>
          <w:p>
            <w:pPr>
              <w:adjustRightInd w:val="0"/>
              <w:snapToGrid w:val="0"/>
              <w:spacing w:line="276" w:lineRule="auto"/>
              <w:ind w:left="67" w:leftChars="32" w:right="107" w:rightChars="51" w:firstLine="420" w:firstLineChars="200"/>
              <w:rPr>
                <w:rFonts w:ascii="仿宋" w:hAnsi="仿宋" w:eastAsia="仿宋" w:cs="仿宋"/>
                <w:szCs w:val="21"/>
              </w:rPr>
            </w:pPr>
            <w:r>
              <w:rPr>
                <w:rFonts w:ascii="仿宋" w:hAnsi="仿宋" w:eastAsia="仿宋" w:cs="仿宋"/>
                <w:szCs w:val="21"/>
              </w:rPr>
              <w:t>截止</w:t>
            </w:r>
            <w:r>
              <w:rPr>
                <w:rFonts w:hint="eastAsia" w:ascii="仿宋" w:hAnsi="仿宋" w:eastAsia="仿宋" w:cs="仿宋"/>
                <w:szCs w:val="21"/>
              </w:rPr>
              <w:t>目前</w:t>
            </w:r>
            <w:r>
              <w:rPr>
                <w:rFonts w:ascii="仿宋" w:hAnsi="仿宋" w:eastAsia="仿宋" w:cs="仿宋"/>
                <w:szCs w:val="21"/>
              </w:rPr>
              <w:t>，重庆天诚鑫矿业有限公司按设计完成了矿山主体工程及安全设施建设，</w:t>
            </w:r>
            <w:r>
              <w:rPr>
                <w:rFonts w:hint="eastAsia" w:ascii="仿宋" w:hAnsi="仿宋" w:eastAsia="仿宋" w:cs="仿宋"/>
                <w:szCs w:val="21"/>
              </w:rPr>
              <w:t>各系统运转正常，安全管理制度执行良好，</w:t>
            </w:r>
            <w:r>
              <w:rPr>
                <w:rFonts w:ascii="仿宋" w:hAnsi="仿宋" w:eastAsia="仿宋" w:cs="仿宋"/>
                <w:szCs w:val="21"/>
              </w:rPr>
              <w:t>已基本具备安全设施验收条件。</w:t>
            </w:r>
          </w:p>
          <w:p>
            <w:pPr>
              <w:adjustRightInd w:val="0"/>
              <w:snapToGrid w:val="0"/>
              <w:spacing w:line="276" w:lineRule="auto"/>
              <w:ind w:left="67" w:leftChars="32" w:right="107" w:rightChars="51" w:firstLine="420" w:firstLineChars="200"/>
              <w:jc w:val="left"/>
              <w:rPr>
                <w:rFonts w:ascii="仿宋" w:hAnsi="仿宋" w:eastAsia="仿宋" w:cs="Arial"/>
                <w:color w:val="000000"/>
                <w:szCs w:val="28"/>
              </w:rPr>
            </w:pPr>
            <w:r>
              <w:rPr>
                <w:rFonts w:ascii="仿宋" w:hAnsi="仿宋" w:eastAsia="仿宋" w:cs="Arial"/>
                <w:color w:val="000000"/>
                <w:szCs w:val="28"/>
              </w:rPr>
              <w:t>202</w:t>
            </w:r>
            <w:r>
              <w:rPr>
                <w:rFonts w:hint="eastAsia" w:ascii="仿宋" w:hAnsi="仿宋" w:eastAsia="仿宋" w:cs="Arial"/>
                <w:color w:val="000000"/>
                <w:szCs w:val="28"/>
              </w:rPr>
              <w:t>3</w:t>
            </w:r>
            <w:r>
              <w:rPr>
                <w:rFonts w:ascii="仿宋" w:hAnsi="仿宋" w:eastAsia="仿宋" w:cs="Arial"/>
                <w:color w:val="000000"/>
                <w:szCs w:val="28"/>
              </w:rPr>
              <w:t>年</w:t>
            </w:r>
            <w:r>
              <w:rPr>
                <w:rFonts w:hint="eastAsia" w:ascii="仿宋" w:hAnsi="仿宋" w:eastAsia="仿宋" w:cs="Arial"/>
                <w:color w:val="000000"/>
                <w:szCs w:val="28"/>
              </w:rPr>
              <w:t>12</w:t>
            </w:r>
            <w:r>
              <w:rPr>
                <w:rFonts w:ascii="仿宋" w:hAnsi="仿宋" w:eastAsia="仿宋" w:cs="Arial"/>
                <w:color w:val="000000"/>
                <w:szCs w:val="28"/>
              </w:rPr>
              <w:t>月</w:t>
            </w:r>
            <w:r>
              <w:rPr>
                <w:rFonts w:ascii="仿宋" w:hAnsi="仿宋" w:eastAsia="仿宋" w:cs="仿宋"/>
                <w:szCs w:val="21"/>
              </w:rPr>
              <w:t>下旬</w:t>
            </w:r>
            <w:r>
              <w:rPr>
                <w:rFonts w:ascii="仿宋" w:hAnsi="仿宋" w:eastAsia="仿宋" w:cs="Arial"/>
                <w:color w:val="000000"/>
                <w:szCs w:val="28"/>
              </w:rPr>
              <w:t>，</w:t>
            </w:r>
            <w:r>
              <w:rPr>
                <w:rFonts w:ascii="仿宋" w:hAnsi="仿宋" w:eastAsia="仿宋" w:cs="仿宋"/>
                <w:szCs w:val="21"/>
              </w:rPr>
              <w:t>重庆天诚鑫矿业有限公司</w:t>
            </w:r>
            <w:r>
              <w:rPr>
                <w:rFonts w:ascii="仿宋" w:hAnsi="仿宋" w:eastAsia="仿宋" w:cs="Arial"/>
                <w:color w:val="000000"/>
                <w:szCs w:val="28"/>
              </w:rPr>
              <w:t>委托我公司对该矿山进行安全设施验收评价。按照安全评价的有关要求，我公司随即成立了验收评价小组并到矿山收集了业主</w:t>
            </w:r>
            <w:r>
              <w:rPr>
                <w:rFonts w:ascii="仿宋" w:hAnsi="仿宋" w:eastAsia="仿宋" w:cs="仿宋"/>
                <w:szCs w:val="21"/>
              </w:rPr>
              <w:t>单位</w:t>
            </w:r>
            <w:r>
              <w:rPr>
                <w:rFonts w:ascii="仿宋" w:hAnsi="仿宋" w:eastAsia="仿宋" w:cs="Arial"/>
                <w:color w:val="000000"/>
                <w:szCs w:val="28"/>
              </w:rPr>
              <w:t>的相关资料，检查其安全设施建设情况、生产管理技术措施到位情况等。</w:t>
            </w:r>
            <w:r>
              <w:rPr>
                <w:rFonts w:hint="eastAsia" w:ascii="仿宋" w:hAnsi="仿宋" w:eastAsia="仿宋" w:cs="Arial"/>
                <w:color w:val="000000"/>
                <w:szCs w:val="28"/>
              </w:rPr>
              <w:t>本次评价的范围为：</w:t>
            </w:r>
            <w:r>
              <w:rPr>
                <w:rFonts w:ascii="仿宋" w:hAnsi="仿宋" w:eastAsia="仿宋" w:cs="Arial"/>
                <w:color w:val="000000"/>
                <w:szCs w:val="28"/>
              </w:rPr>
              <w:t>矿山</w:t>
            </w:r>
            <w:r>
              <w:rPr>
                <w:rFonts w:hint="eastAsia" w:ascii="仿宋" w:hAnsi="仿宋" w:eastAsia="仿宋" w:cs="Arial"/>
                <w:color w:val="000000"/>
                <w:szCs w:val="28"/>
              </w:rPr>
              <w:t>设计开采</w:t>
            </w:r>
            <w:r>
              <w:rPr>
                <w:rFonts w:ascii="仿宋" w:hAnsi="仿宋" w:eastAsia="仿宋" w:cs="Arial"/>
                <w:color w:val="000000"/>
                <w:szCs w:val="28"/>
              </w:rPr>
              <w:t>范围内</w:t>
            </w:r>
            <w:r>
              <w:rPr>
                <w:rFonts w:hint="eastAsia" w:ascii="仿宋" w:hAnsi="仿宋" w:eastAsia="仿宋" w:cs="Arial"/>
                <w:color w:val="000000"/>
                <w:szCs w:val="28"/>
              </w:rPr>
              <w:t>的</w:t>
            </w:r>
            <w:r>
              <w:rPr>
                <w:rFonts w:ascii="仿宋" w:hAnsi="仿宋" w:eastAsia="仿宋" w:cs="Arial"/>
                <w:color w:val="000000"/>
                <w:szCs w:val="28"/>
              </w:rPr>
              <w:t>生产系统及</w:t>
            </w:r>
            <w:r>
              <w:rPr>
                <w:rFonts w:hint="eastAsia" w:ascii="仿宋" w:hAnsi="仿宋" w:eastAsia="仿宋" w:cs="Arial"/>
                <w:color w:val="000000"/>
                <w:szCs w:val="28"/>
              </w:rPr>
              <w:t>辅助</w:t>
            </w:r>
            <w:r>
              <w:rPr>
                <w:rFonts w:ascii="仿宋" w:hAnsi="仿宋" w:eastAsia="仿宋" w:cs="Arial"/>
                <w:color w:val="000000"/>
                <w:szCs w:val="28"/>
              </w:rPr>
              <w:t>加工系统</w:t>
            </w:r>
            <w:r>
              <w:rPr>
                <w:rFonts w:hint="eastAsia" w:ascii="仿宋" w:hAnsi="仿宋" w:eastAsia="仿宋" w:cs="Arial"/>
                <w:color w:val="000000"/>
                <w:szCs w:val="28"/>
              </w:rPr>
              <w:t>，</w:t>
            </w:r>
            <w:r>
              <w:rPr>
                <w:rFonts w:ascii="仿宋" w:hAnsi="仿宋" w:eastAsia="仿宋" w:cs="Arial"/>
                <w:color w:val="000000"/>
                <w:szCs w:val="28"/>
              </w:rPr>
              <w:t>包括总平面布置、开拓运输、采剥、</w:t>
            </w:r>
            <w:r>
              <w:rPr>
                <w:rFonts w:hint="eastAsia" w:ascii="仿宋" w:hAnsi="仿宋" w:eastAsia="仿宋" w:cs="Arial"/>
                <w:color w:val="000000"/>
                <w:szCs w:val="28"/>
              </w:rPr>
              <w:t>供配电</w:t>
            </w:r>
            <w:r>
              <w:rPr>
                <w:rFonts w:ascii="仿宋" w:hAnsi="仿宋" w:eastAsia="仿宋" w:cs="Arial"/>
                <w:color w:val="000000"/>
                <w:szCs w:val="28"/>
              </w:rPr>
              <w:t>、</w:t>
            </w:r>
            <w:r>
              <w:rPr>
                <w:rFonts w:hint="eastAsia" w:ascii="仿宋" w:hAnsi="仿宋" w:eastAsia="仿宋" w:cs="Arial"/>
                <w:color w:val="000000"/>
                <w:szCs w:val="28"/>
              </w:rPr>
              <w:t>防</w:t>
            </w:r>
            <w:r>
              <w:rPr>
                <w:rFonts w:ascii="仿宋" w:hAnsi="仿宋" w:eastAsia="仿宋" w:cs="Arial"/>
                <w:color w:val="000000"/>
                <w:szCs w:val="28"/>
              </w:rPr>
              <w:t>排水、排土场</w:t>
            </w:r>
            <w:r>
              <w:rPr>
                <w:rFonts w:hint="eastAsia" w:ascii="仿宋" w:hAnsi="仿宋" w:eastAsia="仿宋" w:cs="Arial"/>
                <w:color w:val="000000"/>
                <w:szCs w:val="28"/>
              </w:rPr>
              <w:t>及安全管理等，不包括原排土场</w:t>
            </w:r>
            <w:r>
              <w:rPr>
                <w:rFonts w:ascii="仿宋" w:hAnsi="仿宋" w:eastAsia="仿宋" w:cs="Arial"/>
                <w:color w:val="000000"/>
                <w:szCs w:val="28"/>
              </w:rPr>
              <w:t>。</w:t>
            </w:r>
          </w:p>
          <w:p>
            <w:pPr>
              <w:pStyle w:val="2"/>
              <w:rPr>
                <w:rFonts w:hint="eastAsia"/>
              </w:rPr>
            </w:pPr>
            <w:r>
              <w:drawing>
                <wp:inline distT="0" distB="0" distL="114300" distR="114300">
                  <wp:extent cx="5133340" cy="3625215"/>
                  <wp:effectExtent l="0" t="0" r="10160" b="133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133340" cy="3625215"/>
                          </a:xfrm>
                          <a:prstGeom prst="rect">
                            <a:avLst/>
                          </a:prstGeom>
                          <a:noFill/>
                          <a:ln>
                            <a:noFill/>
                          </a:ln>
                        </pic:spPr>
                      </pic:pic>
                    </a:graphicData>
                  </a:graphic>
                </wp:inline>
              </w:drawing>
            </w:r>
          </w:p>
          <w:p>
            <w:pPr>
              <w:adjustRightInd w:val="0"/>
              <w:snapToGrid w:val="0"/>
              <w:spacing w:line="276" w:lineRule="auto"/>
              <w:ind w:left="66" w:leftChars="14" w:right="107" w:rightChars="51" w:hanging="37" w:hangingChars="18"/>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1837"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371" w:type="dxa"/>
            <w:gridSpan w:val="4"/>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1837"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371" w:type="dxa"/>
            <w:gridSpan w:val="4"/>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2023年12月28日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1837"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371" w:type="dxa"/>
            <w:gridSpan w:val="4"/>
            <w:noWrap w:val="0"/>
            <w:vAlign w:val="center"/>
          </w:tcPr>
          <w:p>
            <w:pPr>
              <w:spacing w:line="300" w:lineRule="exact"/>
              <w:jc w:val="center"/>
              <w:rPr>
                <w:rFonts w:hint="eastAsia" w:ascii="仿宋" w:hAnsi="仿宋" w:eastAsia="仿宋" w:cs="仿宋"/>
                <w:spacing w:val="-14"/>
                <w:szCs w:val="21"/>
              </w:rPr>
            </w:pPr>
            <w:r>
              <w:rPr>
                <w:rFonts w:hint="eastAsia" w:ascii="仿宋" w:hAnsi="仿宋" w:eastAsia="仿宋" w:cs="仿宋"/>
                <w:spacing w:val="-14"/>
                <w:szCs w:val="21"/>
              </w:rPr>
              <w:t>2023年12月28日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7141F5"/>
    <w:rsid w:val="397141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2024-02-26T09:07:00Z</dcterms:created>
  <dc:creator>雷楠</dc:creator>
  <cp:lastModifiedBy>雷楠</cp:lastModifiedBy>
  <dcterms:modified xsi:type="dcterms:W3CDTF">2024-02-26T09:07:56Z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