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2"/>
        <w:gridCol w:w="683"/>
        <w:gridCol w:w="909"/>
        <w:gridCol w:w="588"/>
        <w:gridCol w:w="813"/>
        <w:gridCol w:w="126"/>
        <w:gridCol w:w="823"/>
        <w:gridCol w:w="311"/>
        <w:gridCol w:w="99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84"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42"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84"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8" w:type="dxa"/>
            <w:gridSpan w:val="13"/>
            <w:vAlign w:val="center"/>
          </w:tcPr>
          <w:p>
            <w:pPr>
              <w:spacing w:line="460" w:lineRule="exact"/>
              <w:jc w:val="center"/>
              <w:rPr>
                <w:rFonts w:ascii="仿宋" w:hAnsi="仿宋" w:eastAsia="仿宋"/>
                <w:szCs w:val="21"/>
              </w:rPr>
            </w:pPr>
            <w:r>
              <w:rPr>
                <w:rFonts w:hint="eastAsia" w:ascii="仿宋" w:hAnsi="仿宋" w:eastAsia="仿宋"/>
                <w:szCs w:val="21"/>
              </w:rPr>
              <w:t>国家管网集团西南管道有限责任公司兰州输油气分公司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84"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8" w:type="dxa"/>
            <w:gridSpan w:val="13"/>
            <w:vAlign w:val="center"/>
          </w:tcPr>
          <w:p>
            <w:pPr>
              <w:ind w:right="159"/>
              <w:rPr>
                <w:rFonts w:ascii="仿宋" w:hAnsi="仿宋" w:eastAsia="仿宋"/>
                <w:bCs/>
                <w:szCs w:val="21"/>
              </w:rPr>
            </w:pPr>
            <w:r>
              <w:rPr>
                <w:rFonts w:hint="eastAsia" w:ascii="仿宋" w:hAnsi="仿宋" w:eastAsia="仿宋"/>
                <w:szCs w:val="21"/>
              </w:rPr>
              <w:t>国家管网集团西南管道有限责任公司兰州输油气分公司兰成原油管道K158+700m渭河段线路治理工程安全评价报告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84"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8" w:type="dxa"/>
            <w:gridSpan w:val="13"/>
            <w:vAlign w:val="center"/>
          </w:tcPr>
          <w:p>
            <w:pPr>
              <w:spacing w:line="500" w:lineRule="exact"/>
              <w:jc w:val="center"/>
              <w:rPr>
                <w:rFonts w:ascii="仿宋" w:hAnsi="仿宋" w:eastAsia="仿宋"/>
                <w:szCs w:val="21"/>
              </w:rPr>
            </w:pPr>
            <w:r>
              <w:rPr>
                <w:rFonts w:hint="eastAsia" w:ascii="MS Mincho" w:hAnsi="MS Mincho" w:eastAsia="MS Mincho" w:cs="MS Mincho"/>
                <w:szCs w:val="21"/>
              </w:rPr>
              <w:t>☑</w:t>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3"/>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42"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3135"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42" w:type="dxa"/>
            <w:vMerge w:val="continue"/>
            <w:vAlign w:val="center"/>
          </w:tcPr>
          <w:p>
            <w:pPr>
              <w:spacing w:line="500" w:lineRule="exact"/>
              <w:jc w:val="center"/>
              <w:rPr>
                <w:rFonts w:ascii="仿宋" w:hAnsi="仿宋" w:eastAsia="仿宋"/>
                <w:b/>
                <w:szCs w:val="21"/>
              </w:rPr>
            </w:pPr>
          </w:p>
        </w:tc>
        <w:tc>
          <w:tcPr>
            <w:tcW w:w="3135" w:type="dxa"/>
            <w:gridSpan w:val="5"/>
            <w:vAlign w:val="center"/>
          </w:tcPr>
          <w:p>
            <w:pPr>
              <w:spacing w:line="460" w:lineRule="exact"/>
              <w:jc w:val="center"/>
              <w:rPr>
                <w:rFonts w:ascii="仿宋" w:hAnsi="仿宋" w:eastAsia="仿宋"/>
                <w:szCs w:val="21"/>
              </w:rPr>
            </w:pPr>
            <w:r>
              <w:rPr>
                <w:rFonts w:hint="eastAsia" w:ascii="仿宋" w:hAnsi="仿宋" w:eastAsia="仿宋"/>
                <w:szCs w:val="21"/>
              </w:rPr>
              <w:t>段美满</w:t>
            </w:r>
          </w:p>
        </w:tc>
        <w:tc>
          <w:tcPr>
            <w:tcW w:w="2710" w:type="dxa"/>
            <w:gridSpan w:val="6"/>
            <w:vAlign w:val="center"/>
          </w:tcPr>
          <w:p>
            <w:pPr>
              <w:spacing w:line="460" w:lineRule="exact"/>
              <w:jc w:val="center"/>
              <w:rPr>
                <w:rFonts w:ascii="仿宋" w:hAnsi="仿宋" w:eastAsia="仿宋"/>
                <w:szCs w:val="21"/>
              </w:rPr>
            </w:pPr>
            <w:r>
              <w:rPr>
                <w:rFonts w:hint="eastAsia" w:ascii="仿宋" w:hAnsi="仿宋" w:eastAsia="仿宋"/>
                <w:szCs w:val="21"/>
              </w:rPr>
              <w:t>刘国勇</w:t>
            </w:r>
          </w:p>
        </w:tc>
        <w:tc>
          <w:tcPr>
            <w:tcW w:w="2875" w:type="dxa"/>
            <w:gridSpan w:val="3"/>
            <w:vAlign w:val="center"/>
          </w:tcPr>
          <w:p>
            <w:pPr>
              <w:spacing w:line="46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42"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322"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242" w:type="dxa"/>
            <w:vMerge w:val="continue"/>
            <w:vAlign w:val="center"/>
          </w:tcPr>
          <w:p>
            <w:pPr>
              <w:spacing w:line="500" w:lineRule="exact"/>
              <w:jc w:val="center"/>
              <w:rPr>
                <w:rFonts w:ascii="仿宋" w:hAnsi="仿宋" w:eastAsia="仿宋"/>
                <w:b/>
                <w:szCs w:val="21"/>
              </w:rPr>
            </w:pPr>
          </w:p>
        </w:tc>
        <w:tc>
          <w:tcPr>
            <w:tcW w:w="2322" w:type="dxa"/>
            <w:gridSpan w:val="4"/>
            <w:vAlign w:val="center"/>
          </w:tcPr>
          <w:p>
            <w:pPr>
              <w:spacing w:line="460" w:lineRule="exact"/>
              <w:jc w:val="center"/>
              <w:rPr>
                <w:rFonts w:hint="eastAsia" w:ascii="仿宋" w:hAnsi="仿宋" w:eastAsia="仿宋"/>
                <w:szCs w:val="21"/>
                <w:lang w:eastAsia="zh-CN"/>
              </w:rPr>
            </w:pPr>
            <w:r>
              <w:rPr>
                <w:rFonts w:hint="eastAsia" w:ascii="仿宋" w:hAnsi="仿宋" w:eastAsia="仿宋"/>
                <w:szCs w:val="21"/>
                <w:lang w:eastAsia="zh-CN"/>
              </w:rPr>
              <w:t>李俊强</w:t>
            </w:r>
          </w:p>
        </w:tc>
        <w:tc>
          <w:tcPr>
            <w:tcW w:w="2073" w:type="dxa"/>
            <w:gridSpan w:val="4"/>
            <w:vAlign w:val="center"/>
          </w:tcPr>
          <w:p>
            <w:pPr>
              <w:spacing w:line="460" w:lineRule="exact"/>
              <w:jc w:val="center"/>
              <w:rPr>
                <w:rFonts w:ascii="仿宋" w:hAnsi="仿宋" w:eastAsia="仿宋"/>
                <w:szCs w:val="21"/>
              </w:rPr>
            </w:pPr>
            <w:r>
              <w:rPr>
                <w:rFonts w:hint="eastAsia" w:ascii="仿宋" w:hAnsi="仿宋" w:eastAsia="仿宋"/>
                <w:szCs w:val="21"/>
              </w:rPr>
              <w:t>2025年</w:t>
            </w:r>
            <w:r>
              <w:rPr>
                <w:rFonts w:hint="eastAsia" w:ascii="仿宋" w:hAnsi="仿宋" w:eastAsia="仿宋"/>
                <w:szCs w:val="21"/>
                <w:lang w:val="en-US" w:eastAsia="zh-CN"/>
              </w:rPr>
              <w:t>4</w:t>
            </w:r>
            <w:r>
              <w:rPr>
                <w:rFonts w:hint="eastAsia" w:ascii="仿宋" w:hAnsi="仿宋" w:eastAsia="仿宋"/>
                <w:szCs w:val="21"/>
              </w:rPr>
              <w:t>月</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赵长军</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42"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734" w:type="dxa"/>
            <w:gridSpan w:val="3"/>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ascii="仿宋" w:hAnsi="仿宋" w:eastAsia="仿宋" w:cs="Times New Roman"/>
                <w:kern w:val="2"/>
                <w:sz w:val="21"/>
                <w:szCs w:val="21"/>
                <w:lang w:val="en-US" w:eastAsia="zh-CN" w:bidi="ar-SA"/>
              </w:rPr>
            </w:pPr>
            <w:r>
              <w:rPr>
                <w:rFonts w:hint="eastAsia" w:ascii="仿宋" w:hAnsi="仿宋" w:eastAsia="仿宋"/>
                <w:szCs w:val="21"/>
              </w:rPr>
              <w:t>段美满</w:t>
            </w:r>
          </w:p>
        </w:tc>
        <w:tc>
          <w:tcPr>
            <w:tcW w:w="1734" w:type="dxa"/>
            <w:gridSpan w:val="3"/>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szCs w:val="21"/>
              </w:rPr>
              <w:t>油气储运</w:t>
            </w:r>
          </w:p>
        </w:tc>
        <w:tc>
          <w:tcPr>
            <w:tcW w:w="2661" w:type="dxa"/>
            <w:gridSpan w:val="5"/>
            <w:vAlign w:val="center"/>
          </w:tcPr>
          <w:p>
            <w:pPr>
              <w:jc w:val="center"/>
              <w:rPr>
                <w:rFonts w:ascii="宋体" w:hAnsi="宋体" w:eastAsia="宋体" w:cs="宋体"/>
                <w:kern w:val="2"/>
                <w:sz w:val="21"/>
                <w:szCs w:val="21"/>
                <w:lang w:val="en-US" w:eastAsia="zh-CN" w:bidi="ar-SA"/>
              </w:rPr>
            </w:pPr>
            <w:r>
              <w:rPr>
                <w:rFonts w:hint="eastAsia" w:ascii="仿宋" w:hAnsi="仿宋" w:eastAsia="仿宋" w:cs="仿宋"/>
                <w:kern w:val="0"/>
                <w:sz w:val="24"/>
              </w:rPr>
              <w:t>1600000000200420</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kern w:val="0"/>
                <w:sz w:val="24"/>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黄  伟</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油气储运</w:t>
            </w:r>
          </w:p>
        </w:tc>
        <w:tc>
          <w:tcPr>
            <w:tcW w:w="2661" w:type="dxa"/>
            <w:gridSpan w:val="5"/>
            <w:vAlign w:val="center"/>
          </w:tcPr>
          <w:p>
            <w:pPr>
              <w:jc w:val="center"/>
              <w:rPr>
                <w:rFonts w:ascii="宋体" w:hAnsi="宋体" w:eastAsia="宋体" w:cs="宋体"/>
                <w:kern w:val="2"/>
                <w:sz w:val="21"/>
                <w:szCs w:val="21"/>
                <w:lang w:val="en-US" w:eastAsia="zh-CN" w:bidi="ar-SA"/>
              </w:rPr>
            </w:pPr>
            <w:r>
              <w:rPr>
                <w:rFonts w:hint="eastAsia" w:ascii="仿宋" w:hAnsi="仿宋" w:eastAsia="仿宋" w:cs="仿宋"/>
                <w:kern w:val="0"/>
                <w:sz w:val="24"/>
              </w:rPr>
              <w:t>1600000000301631</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kern w:val="0"/>
                <w:sz w:val="24"/>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刘文娟</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工艺设备与控制</w:t>
            </w:r>
          </w:p>
        </w:tc>
        <w:tc>
          <w:tcPr>
            <w:tcW w:w="2661" w:type="dxa"/>
            <w:gridSpan w:val="5"/>
            <w:vAlign w:val="center"/>
          </w:tcPr>
          <w:p>
            <w:pPr>
              <w:jc w:val="center"/>
              <w:rPr>
                <w:rFonts w:ascii="宋体" w:hAnsi="宋体" w:eastAsia="宋体" w:cs="宋体"/>
                <w:kern w:val="2"/>
                <w:sz w:val="21"/>
                <w:szCs w:val="21"/>
                <w:lang w:val="en-US" w:eastAsia="zh-CN" w:bidi="ar-SA"/>
              </w:rPr>
            </w:pPr>
            <w:r>
              <w:rPr>
                <w:rFonts w:hint="eastAsia" w:ascii="仿宋" w:hAnsi="仿宋" w:eastAsia="仿宋" w:cs="仿宋"/>
                <w:kern w:val="0"/>
                <w:sz w:val="24"/>
              </w:rPr>
              <w:t>1700000000201153</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kern w:val="0"/>
                <w:sz w:val="24"/>
              </w:rPr>
              <w:t>55140156484</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唐  龙</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安全</w:t>
            </w:r>
          </w:p>
        </w:tc>
        <w:tc>
          <w:tcPr>
            <w:tcW w:w="2661" w:type="dxa"/>
            <w:gridSpan w:val="5"/>
            <w:vAlign w:val="center"/>
          </w:tcPr>
          <w:p>
            <w:pPr>
              <w:jc w:val="center"/>
              <w:rPr>
                <w:rFonts w:ascii="宋体" w:hAnsi="宋体" w:eastAsia="宋体" w:cs="宋体"/>
                <w:kern w:val="2"/>
                <w:sz w:val="21"/>
                <w:szCs w:val="21"/>
                <w:lang w:val="en-US" w:eastAsia="zh-CN" w:bidi="ar-SA"/>
              </w:rPr>
            </w:pPr>
            <w:r>
              <w:rPr>
                <w:rFonts w:hint="eastAsia" w:ascii="仿宋" w:hAnsi="仿宋" w:eastAsia="仿宋" w:cs="仿宋"/>
                <w:sz w:val="24"/>
              </w:rPr>
              <w:t>/</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19210267909</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闫云光</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电气</w:t>
            </w:r>
          </w:p>
        </w:tc>
        <w:tc>
          <w:tcPr>
            <w:tcW w:w="2661"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55210262938</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孟萌萌</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防腐</w:t>
            </w:r>
          </w:p>
        </w:tc>
        <w:tc>
          <w:tcPr>
            <w:tcW w:w="2661"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1100000000301652</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张郑平</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自动化</w:t>
            </w:r>
          </w:p>
        </w:tc>
        <w:tc>
          <w:tcPr>
            <w:tcW w:w="2661"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55220291726</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唐波</w:t>
            </w:r>
          </w:p>
        </w:tc>
        <w:tc>
          <w:tcPr>
            <w:tcW w:w="1734" w:type="dxa"/>
            <w:gridSpan w:val="3"/>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化工机械</w:t>
            </w:r>
          </w:p>
        </w:tc>
        <w:tc>
          <w:tcPr>
            <w:tcW w:w="2661" w:type="dxa"/>
            <w:gridSpan w:val="5"/>
            <w:vAlign w:val="top"/>
          </w:tcPr>
          <w:p>
            <w:pPr>
              <w:jc w:val="center"/>
              <w:rPr>
                <w:rFonts w:ascii="宋体" w:hAnsi="宋体" w:eastAsia="宋体" w:cs="宋体"/>
                <w:kern w:val="2"/>
                <w:sz w:val="21"/>
                <w:szCs w:val="21"/>
                <w:lang w:val="en-US" w:eastAsia="zh-CN" w:bidi="ar-SA"/>
              </w:rPr>
            </w:pPr>
            <w:r>
              <w:rPr>
                <w:rFonts w:hint="eastAsia" w:ascii="仿宋" w:hAnsi="仿宋" w:eastAsia="仿宋" w:cs="仿宋"/>
                <w:sz w:val="24"/>
              </w:rPr>
              <w:t>/</w:t>
            </w:r>
          </w:p>
        </w:tc>
        <w:tc>
          <w:tcPr>
            <w:tcW w:w="2662" w:type="dxa"/>
            <w:gridSpan w:val="5"/>
            <w:vAlign w:val="top"/>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55230327662</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李伟</w:t>
            </w:r>
          </w:p>
        </w:tc>
        <w:tc>
          <w:tcPr>
            <w:tcW w:w="1734" w:type="dxa"/>
            <w:gridSpan w:val="3"/>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机械</w:t>
            </w:r>
          </w:p>
        </w:tc>
        <w:tc>
          <w:tcPr>
            <w:tcW w:w="2661" w:type="dxa"/>
            <w:gridSpan w:val="5"/>
            <w:vAlign w:val="center"/>
          </w:tcPr>
          <w:p>
            <w:pPr>
              <w:jc w:val="center"/>
              <w:rPr>
                <w:rFonts w:ascii="宋体" w:hAnsi="宋体" w:eastAsia="宋体" w:cs="宋体"/>
                <w:kern w:val="2"/>
                <w:sz w:val="21"/>
                <w:szCs w:val="21"/>
                <w:lang w:val="en-US" w:eastAsia="zh-CN" w:bidi="ar-SA"/>
              </w:rPr>
            </w:pPr>
            <w:r>
              <w:rPr>
                <w:rFonts w:hint="eastAsia" w:ascii="仿宋" w:hAnsi="仿宋" w:eastAsia="仿宋" w:cs="仿宋"/>
                <w:sz w:val="24"/>
              </w:rPr>
              <w:t>1800000000201223</w:t>
            </w:r>
          </w:p>
        </w:tc>
        <w:tc>
          <w:tcPr>
            <w:tcW w:w="2662" w:type="dxa"/>
            <w:gridSpan w:val="5"/>
            <w:vAlign w:val="center"/>
          </w:tcPr>
          <w:p>
            <w:pPr>
              <w:jc w:val="center"/>
              <w:rPr>
                <w:rFonts w:ascii="仿宋" w:hAnsi="仿宋" w:eastAsia="仿宋" w:cs="宋体"/>
                <w:kern w:val="0"/>
                <w:sz w:val="21"/>
                <w:szCs w:val="21"/>
                <w:lang w:val="en-US" w:eastAsia="zh-CN" w:bidi="ar-SA"/>
              </w:rPr>
            </w:pPr>
            <w:r>
              <w:rPr>
                <w:rFonts w:hint="eastAsia" w:ascii="仿宋" w:hAnsi="仿宋" w:eastAsia="仿宋" w:cs="仿宋"/>
                <w:sz w:val="24"/>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242"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常鹏程</w:t>
            </w:r>
          </w:p>
        </w:tc>
        <w:tc>
          <w:tcPr>
            <w:tcW w:w="1734" w:type="dxa"/>
            <w:gridSpan w:val="3"/>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1500000000301834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0" w:hRule="atLeast"/>
        </w:trPr>
        <w:tc>
          <w:tcPr>
            <w:tcW w:w="1242"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720" w:type="dxa"/>
            <w:gridSpan w:val="14"/>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pStyle w:val="2"/>
              <w:ind w:firstLineChars="200"/>
              <w:rPr>
                <w:rFonts w:hint="eastAsia" w:ascii="仿宋" w:hAnsi="仿宋" w:eastAsia="仿宋"/>
                <w:szCs w:val="21"/>
              </w:rPr>
            </w:pPr>
            <w:r>
              <w:rPr>
                <w:rFonts w:hint="eastAsia" w:ascii="仿宋" w:hAnsi="仿宋" w:eastAsia="仿宋"/>
                <w:szCs w:val="21"/>
              </w:rPr>
              <w:t>兰成原油管道K158+700m渭河段线路治理工程位于定西市渭源县清源镇东湾村、路园镇锹家铺村，管道改线起点位于兰海高速北侧已建兰成原油管道处，设计压力10.0MPa，输送介质为原油，碰口后先向东敷设约137m，后采用定向钻穿越方式，向南依次穿越兰海高速、渭河至渭河南岸，再向西南敷设约53m后与原兰成管道碰口。通信光缆线路改线方案起止点与改线管道的起止点相同，改线段起、终点各设置1个手孔。</w:t>
            </w:r>
          </w:p>
          <w:p>
            <w:pPr>
              <w:pStyle w:val="2"/>
              <w:ind w:firstLineChars="200"/>
              <w:rPr>
                <w:rFonts w:hint="eastAsia" w:ascii="仿宋" w:hAnsi="仿宋" w:eastAsia="仿宋"/>
                <w:szCs w:val="21"/>
              </w:rPr>
            </w:pPr>
            <w:r>
              <w:rPr>
                <w:rFonts w:hint="eastAsia" w:ascii="仿宋" w:hAnsi="仿宋" w:eastAsia="仿宋"/>
                <w:szCs w:val="21"/>
              </w:rPr>
              <w:t>管道改线后总长度约883m，一般段线路长度约189m，沿线均为耕地，定向钻穿越段线路长度约694m，入钻点位于北岸耕地，距离兰海高速坡脚约42.6m，距离渭河北岸河堤背水面堤脚线约347.4m，出钻点位于南岸耕地，距离渭河南岸河堤背水面堤脚线约217.7m，定向钻回拖场地约385m（采用二接一回拖工艺），均为耕地。</w:t>
            </w:r>
          </w:p>
          <w:p>
            <w:pPr>
              <w:pStyle w:val="2"/>
              <w:ind w:firstLineChars="200"/>
              <w:rPr>
                <w:rFonts w:ascii="仿宋" w:hAnsi="仿宋" w:eastAsia="仿宋"/>
                <w:szCs w:val="21"/>
              </w:rPr>
            </w:pPr>
            <w:r>
              <w:rPr>
                <w:rFonts w:hint="eastAsia" w:ascii="仿宋" w:hAnsi="仿宋" w:eastAsia="仿宋"/>
                <w:szCs w:val="21"/>
              </w:rPr>
              <w:t>兰成原油管道K158+700m渭河段线路治理工程于渭河穿越段下游设置1个RTU阀室，位于路园镇锹家铺村东北约195m，原管道桩号K159+309m处，距离渭河穿越处约255m，阀室（含太阳能设施）永久性征地面积约967.26m</w:t>
            </w:r>
            <w:r>
              <w:rPr>
                <w:rFonts w:hint="eastAsia" w:ascii="仿宋" w:hAnsi="仿宋" w:eastAsia="仿宋"/>
                <w:szCs w:val="21"/>
                <w:vertAlign w:val="superscript"/>
              </w:rPr>
              <w:t>2</w:t>
            </w:r>
            <w:r>
              <w:rPr>
                <w:rFonts w:hint="eastAsia" w:ascii="仿宋" w:hAnsi="仿宋" w:eastAsia="仿宋"/>
                <w:szCs w:val="21"/>
              </w:rPr>
              <w:t>，进站道路永久性征地面积约820.41m</w:t>
            </w:r>
            <w:r>
              <w:rPr>
                <w:rFonts w:hint="eastAsia" w:ascii="仿宋" w:hAnsi="仿宋" w:eastAsia="仿宋"/>
                <w:szCs w:val="21"/>
                <w:vertAlign w:val="superscript"/>
              </w:rPr>
              <w:t>2</w:t>
            </w:r>
            <w:r>
              <w:rPr>
                <w:rFonts w:hint="eastAsia" w:ascii="仿宋" w:hAnsi="仿宋" w:eastAsia="仿宋"/>
                <w:szCs w:val="21"/>
              </w:rPr>
              <w:t>，总计约1787.67m</w:t>
            </w:r>
            <w:r>
              <w:rPr>
                <w:rFonts w:hint="eastAsia" w:ascii="仿宋" w:hAnsi="仿宋" w:eastAsia="仿宋"/>
                <w:szCs w:val="21"/>
                <w:vertAlign w:val="superscript"/>
              </w:rPr>
              <w:t>2</w:t>
            </w:r>
            <w:r>
              <w:rPr>
                <w:rFonts w:hint="eastAsia" w:ascii="仿宋" w:hAnsi="仿宋" w:eastAsia="仿宋"/>
                <w:szCs w:val="21"/>
              </w:rPr>
              <w:t>，合2.69亩。</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3"/>
              <w:rPr>
                <w:rFonts w:ascii="仿宋" w:hAnsi="仿宋" w:eastAsia="仿宋" w:cs="宋体"/>
                <w:szCs w:val="21"/>
              </w:rPr>
            </w:pPr>
            <w:r>
              <w:drawing>
                <wp:inline distT="0" distB="0" distL="114300" distR="114300">
                  <wp:extent cx="4309110" cy="3195320"/>
                  <wp:effectExtent l="0" t="0" r="152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09110" cy="31953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42"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734"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52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26"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1242" w:type="dxa"/>
            <w:vMerge w:val="continue"/>
            <w:vAlign w:val="center"/>
          </w:tcPr>
          <w:p>
            <w:pPr>
              <w:spacing w:line="500" w:lineRule="exact"/>
              <w:jc w:val="center"/>
              <w:rPr>
                <w:rFonts w:ascii="仿宋" w:hAnsi="仿宋" w:eastAsia="仿宋"/>
                <w:szCs w:val="21"/>
              </w:rPr>
            </w:pPr>
          </w:p>
        </w:tc>
        <w:tc>
          <w:tcPr>
            <w:tcW w:w="1734" w:type="dxa"/>
            <w:gridSpan w:val="3"/>
            <w:vAlign w:val="center"/>
          </w:tcPr>
          <w:p>
            <w:pPr>
              <w:spacing w:line="460" w:lineRule="exact"/>
              <w:jc w:val="center"/>
              <w:rPr>
                <w:rFonts w:ascii="仿宋" w:hAnsi="仿宋" w:eastAsia="仿宋"/>
                <w:szCs w:val="21"/>
              </w:rPr>
            </w:pPr>
            <w:r>
              <w:rPr>
                <w:rFonts w:hint="eastAsia" w:ascii="仿宋" w:hAnsi="仿宋" w:eastAsia="仿宋"/>
                <w:bCs/>
                <w:szCs w:val="21"/>
              </w:rPr>
              <w:t>段美满</w:t>
            </w:r>
          </w:p>
        </w:tc>
        <w:tc>
          <w:tcPr>
            <w:tcW w:w="1527" w:type="dxa"/>
            <w:gridSpan w:val="3"/>
            <w:vMerge w:val="restart"/>
            <w:vAlign w:val="center"/>
          </w:tcPr>
          <w:p>
            <w:pPr>
              <w:spacing w:line="460" w:lineRule="exact"/>
              <w:jc w:val="center"/>
              <w:rPr>
                <w:rFonts w:ascii="仿宋" w:hAnsi="仿宋" w:eastAsia="仿宋"/>
                <w:szCs w:val="21"/>
              </w:rPr>
            </w:pPr>
            <w:r>
              <w:rPr>
                <w:rFonts w:ascii="仿宋" w:hAnsi="仿宋" w:eastAsia="仿宋"/>
                <w:szCs w:val="21"/>
              </w:rPr>
              <w:t>202</w:t>
            </w:r>
            <w:r>
              <w:rPr>
                <w:rFonts w:hint="eastAsia" w:ascii="仿宋" w:hAnsi="仿宋" w:eastAsia="仿宋"/>
                <w:szCs w:val="21"/>
              </w:rPr>
              <w:t>5</w:t>
            </w:r>
            <w:r>
              <w:rPr>
                <w:rFonts w:ascii="仿宋" w:hAnsi="仿宋" w:eastAsia="仿宋"/>
                <w:szCs w:val="21"/>
              </w:rPr>
              <w:t>.</w:t>
            </w:r>
            <w:r>
              <w:rPr>
                <w:rFonts w:hint="eastAsia" w:ascii="仿宋" w:hAnsi="仿宋" w:eastAsia="仿宋"/>
                <w:szCs w:val="21"/>
              </w:rPr>
              <w:t>2.26</w:t>
            </w:r>
          </w:p>
        </w:tc>
        <w:tc>
          <w:tcPr>
            <w:tcW w:w="2126" w:type="dxa"/>
            <w:gridSpan w:val="3"/>
            <w:vMerge w:val="restart"/>
            <w:vAlign w:val="center"/>
          </w:tcPr>
          <w:p>
            <w:pPr>
              <w:spacing w:line="460" w:lineRule="exact"/>
              <w:jc w:val="center"/>
              <w:rPr>
                <w:rFonts w:ascii="仿宋" w:hAnsi="仿宋" w:eastAsia="仿宋"/>
                <w:szCs w:val="21"/>
              </w:rPr>
            </w:pPr>
            <w:r>
              <w:rPr>
                <w:rFonts w:hint="eastAsia" w:ascii="仿宋" w:hAnsi="仿宋" w:eastAsia="仿宋"/>
                <w:szCs w:val="21"/>
              </w:rPr>
              <w:t>兰成原油管道K158+700m渭河段线路治理工程路由及管道沿线情况。</w:t>
            </w:r>
          </w:p>
        </w:tc>
        <w:tc>
          <w:tcPr>
            <w:tcW w:w="3333" w:type="dxa"/>
            <w:gridSpan w:val="5"/>
            <w:vMerge w:val="restart"/>
            <w:vAlign w:val="center"/>
          </w:tcPr>
          <w:p>
            <w:pPr>
              <w:spacing w:line="460" w:lineRule="exact"/>
              <w:ind w:right="159"/>
              <w:jc w:val="center"/>
              <w:rPr>
                <w:rFonts w:ascii="仿宋" w:hAnsi="仿宋" w:eastAsia="仿宋"/>
                <w:szCs w:val="21"/>
              </w:rPr>
            </w:pPr>
            <w:r>
              <w:rPr>
                <w:rFonts w:hint="eastAsia" w:ascii="仿宋" w:hAnsi="仿宋" w:eastAsia="仿宋"/>
                <w:szCs w:val="21"/>
              </w:rPr>
              <w:t>阀室与35kV锹路线间距不足，需拆除。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242" w:type="dxa"/>
            <w:vMerge w:val="continue"/>
            <w:vAlign w:val="center"/>
          </w:tcPr>
          <w:p>
            <w:pPr>
              <w:spacing w:line="500" w:lineRule="exact"/>
              <w:jc w:val="center"/>
              <w:rPr>
                <w:rFonts w:ascii="仿宋" w:hAnsi="仿宋" w:eastAsia="仿宋"/>
                <w:b/>
                <w:szCs w:val="21"/>
              </w:rPr>
            </w:pPr>
          </w:p>
        </w:tc>
        <w:tc>
          <w:tcPr>
            <w:tcW w:w="1734" w:type="dxa"/>
            <w:gridSpan w:val="3"/>
            <w:vAlign w:val="center"/>
          </w:tcPr>
          <w:p>
            <w:pPr>
              <w:spacing w:line="460" w:lineRule="exact"/>
              <w:jc w:val="center"/>
              <w:rPr>
                <w:rFonts w:ascii="仿宋" w:hAnsi="仿宋" w:eastAsia="仿宋"/>
                <w:szCs w:val="21"/>
              </w:rPr>
            </w:pPr>
            <w:r>
              <w:rPr>
                <w:rFonts w:hint="eastAsia" w:ascii="仿宋" w:hAnsi="仿宋" w:eastAsia="仿宋"/>
                <w:szCs w:val="21"/>
              </w:rPr>
              <w:t>李晓斌</w:t>
            </w:r>
          </w:p>
        </w:tc>
        <w:tc>
          <w:tcPr>
            <w:tcW w:w="1527" w:type="dxa"/>
            <w:gridSpan w:val="3"/>
            <w:vMerge w:val="continue"/>
            <w:vAlign w:val="center"/>
          </w:tcPr>
          <w:p>
            <w:pPr>
              <w:spacing w:line="300" w:lineRule="exact"/>
              <w:jc w:val="center"/>
              <w:rPr>
                <w:rFonts w:ascii="仿宋" w:hAnsi="仿宋" w:eastAsia="仿宋"/>
                <w:b/>
                <w:szCs w:val="21"/>
              </w:rPr>
            </w:pPr>
          </w:p>
        </w:tc>
        <w:tc>
          <w:tcPr>
            <w:tcW w:w="2126" w:type="dxa"/>
            <w:gridSpan w:val="3"/>
            <w:vMerge w:val="continue"/>
            <w:vAlign w:val="center"/>
          </w:tcPr>
          <w:p>
            <w:pPr>
              <w:spacing w:line="300" w:lineRule="exact"/>
              <w:jc w:val="center"/>
              <w:rPr>
                <w:rFonts w:ascii="仿宋" w:hAnsi="仿宋" w:eastAsia="仿宋"/>
                <w:b/>
                <w:szCs w:val="21"/>
              </w:rPr>
            </w:pPr>
          </w:p>
        </w:tc>
        <w:tc>
          <w:tcPr>
            <w:tcW w:w="3333"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8388A"/>
    <w:rsid w:val="21583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3">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2025-04-01T08:01:00Z</dcterms:created>
  <dc:creator>雷楠</dc:creator>
  <cp:lastModifiedBy>雷楠</cp:lastModifiedBy>
  <dcterms:modified xsi:type="dcterms:W3CDTF">2025-04-01T08:01:41Z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