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jc w:val="center"/>
        <w:outlineLvl w:val="0"/>
        <w:rPr>
          <w:rFonts w:ascii="宋体" w:hAnsi="宋体"/>
          <w:b/>
          <w:szCs w:val="28"/>
        </w:rPr>
      </w:pPr>
      <w:bookmarkStart w:id="0" w:name="_Toc16094"/>
      <w:bookmarkStart w:id="1" w:name="_Toc16246"/>
      <w:bookmarkStart w:id="2" w:name="_Toc29322"/>
      <w:r>
        <w:rPr>
          <w:rFonts w:hint="eastAsia" w:ascii="仿宋" w:hAnsi="仿宋" w:eastAsia="仿宋"/>
          <w:b/>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217"/>
        <w:gridCol w:w="732"/>
        <w:gridCol w:w="311"/>
        <w:gridCol w:w="772"/>
        <w:gridCol w:w="51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机构名称</w:t>
            </w:r>
          </w:p>
        </w:tc>
        <w:tc>
          <w:tcPr>
            <w:tcW w:w="3936" w:type="dxa"/>
            <w:gridSpan w:val="6"/>
            <w:vAlign w:val="center"/>
          </w:tcPr>
          <w:p>
            <w:pPr>
              <w:spacing w:line="500" w:lineRule="exact"/>
              <w:ind w:firstLine="0" w:firstLineChars="0"/>
              <w:jc w:val="center"/>
              <w:rPr>
                <w:rFonts w:ascii="仿宋" w:hAnsi="仿宋" w:eastAsia="仿宋"/>
                <w:sz w:val="21"/>
                <w:szCs w:val="21"/>
              </w:rPr>
            </w:pPr>
            <w:r>
              <w:rPr>
                <w:rFonts w:hint="eastAsia" w:ascii="仿宋" w:hAnsi="仿宋" w:eastAsia="仿宋"/>
                <w:kern w:val="0"/>
                <w:sz w:val="21"/>
                <w:szCs w:val="21"/>
              </w:rPr>
              <w:t>重庆市安全生产科学研究有限公司</w:t>
            </w:r>
          </w:p>
        </w:tc>
        <w:tc>
          <w:tcPr>
            <w:tcW w:w="1598"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资质证号</w:t>
            </w:r>
          </w:p>
        </w:tc>
        <w:tc>
          <w:tcPr>
            <w:tcW w:w="3038"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委托单位</w:t>
            </w:r>
          </w:p>
        </w:tc>
        <w:tc>
          <w:tcPr>
            <w:tcW w:w="8572" w:type="dxa"/>
            <w:gridSpan w:val="13"/>
            <w:vAlign w:val="center"/>
          </w:tcPr>
          <w:p>
            <w:pPr>
              <w:spacing w:line="500" w:lineRule="exact"/>
              <w:ind w:firstLine="0" w:firstLineChars="0"/>
              <w:jc w:val="center"/>
              <w:rPr>
                <w:rFonts w:ascii="仿宋" w:hAnsi="仿宋" w:eastAsia="仿宋"/>
                <w:kern w:val="0"/>
                <w:sz w:val="21"/>
                <w:szCs w:val="21"/>
              </w:rPr>
            </w:pPr>
            <w:r>
              <w:rPr>
                <w:rFonts w:hint="eastAsia" w:ascii="仿宋" w:hAnsi="仿宋" w:eastAsia="仿宋"/>
                <w:kern w:val="0"/>
                <w:sz w:val="21"/>
                <w:szCs w:val="21"/>
              </w:rPr>
              <w:t>西南油气分公司天然气净化总厂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项目名称</w:t>
            </w:r>
          </w:p>
        </w:tc>
        <w:tc>
          <w:tcPr>
            <w:tcW w:w="8572" w:type="dxa"/>
            <w:gridSpan w:val="13"/>
            <w:vAlign w:val="center"/>
          </w:tcPr>
          <w:p>
            <w:pPr>
              <w:spacing w:line="500" w:lineRule="exact"/>
              <w:ind w:firstLine="0" w:firstLineChars="0"/>
              <w:jc w:val="center"/>
              <w:rPr>
                <w:rFonts w:ascii="仿宋" w:hAnsi="仿宋" w:eastAsia="仿宋"/>
                <w:kern w:val="0"/>
                <w:sz w:val="21"/>
                <w:szCs w:val="21"/>
              </w:rPr>
            </w:pPr>
            <w:r>
              <w:rPr>
                <w:rFonts w:hint="eastAsia" w:ascii="仿宋" w:hAnsi="仿宋" w:eastAsia="仿宋"/>
                <w:kern w:val="0"/>
                <w:sz w:val="21"/>
                <w:szCs w:val="21"/>
              </w:rPr>
              <w:t>安岳天然气净化有限公司节流损失专项治理工程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项目类别</w:t>
            </w:r>
          </w:p>
        </w:tc>
        <w:tc>
          <w:tcPr>
            <w:tcW w:w="8572" w:type="dxa"/>
            <w:gridSpan w:val="13"/>
            <w:vAlign w:val="center"/>
          </w:tcPr>
          <w:p>
            <w:pPr>
              <w:spacing w:line="500" w:lineRule="exact"/>
              <w:ind w:firstLine="0" w:firstLineChars="0"/>
              <w:jc w:val="center"/>
              <w:rPr>
                <w:rFonts w:ascii="仿宋" w:hAnsi="仿宋" w:eastAsia="仿宋"/>
                <w:sz w:val="21"/>
                <w:szCs w:val="21"/>
              </w:rPr>
            </w:pPr>
            <w:r>
              <w:rPr>
                <w:rFonts w:hint="eastAsia" w:ascii="宋体" w:hAnsi="宋体"/>
                <w:sz w:val="21"/>
                <w:szCs w:val="21"/>
              </w:rPr>
              <w:t>■</w:t>
            </w:r>
            <w:r>
              <w:rPr>
                <w:rFonts w:hint="eastAsia" w:ascii="仿宋" w:hAnsi="仿宋" w:eastAsia="仿宋"/>
                <w:sz w:val="21"/>
                <w:szCs w:val="21"/>
              </w:rPr>
              <w:t>预评价   □验收评价    □现状评价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vAlign w:val="center"/>
          </w:tcPr>
          <w:p>
            <w:pPr>
              <w:spacing w:line="400" w:lineRule="exact"/>
              <w:ind w:firstLine="0" w:firstLineChars="0"/>
              <w:rPr>
                <w:rFonts w:ascii="仿宋" w:hAnsi="仿宋" w:eastAsia="仿宋"/>
                <w:sz w:val="21"/>
                <w:szCs w:val="21"/>
              </w:rPr>
            </w:pPr>
            <w:r>
              <w:rPr>
                <w:rFonts w:hint="eastAsia" w:ascii="仿宋" w:hAnsi="仿宋" w:eastAsia="仿宋"/>
                <w:b/>
                <w:sz w:val="21"/>
                <w:szCs w:val="21"/>
              </w:rPr>
              <w:t>所属业务类别</w:t>
            </w:r>
          </w:p>
        </w:tc>
        <w:tc>
          <w:tcPr>
            <w:tcW w:w="7895" w:type="dxa"/>
            <w:gridSpan w:val="12"/>
            <w:vAlign w:val="center"/>
          </w:tcPr>
          <w:p>
            <w:pPr>
              <w:spacing w:line="400" w:lineRule="exact"/>
              <w:ind w:firstLine="2310" w:firstLineChars="1100"/>
              <w:rPr>
                <w:rFonts w:ascii="仿宋" w:hAnsi="仿宋" w:eastAsia="仿宋"/>
                <w:sz w:val="21"/>
                <w:szCs w:val="21"/>
              </w:rPr>
            </w:pPr>
            <w:r>
              <w:rPr>
                <w:rFonts w:hint="eastAsia" w:ascii="仿宋" w:hAnsi="仿宋" w:eastAsia="仿宋"/>
                <w:sz w:val="21"/>
                <w:szCs w:val="21"/>
              </w:rPr>
              <w:t>陆地石油和天然气开采业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安全评价项目管理</w:t>
            </w:r>
          </w:p>
        </w:tc>
        <w:tc>
          <w:tcPr>
            <w:tcW w:w="2987"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项目组组长</w:t>
            </w:r>
          </w:p>
        </w:tc>
        <w:tc>
          <w:tcPr>
            <w:tcW w:w="2710" w:type="dxa"/>
            <w:gridSpan w:val="6"/>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技术负责人</w:t>
            </w:r>
          </w:p>
        </w:tc>
        <w:tc>
          <w:tcPr>
            <w:tcW w:w="2875"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2987"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罗刚</w:t>
            </w:r>
          </w:p>
        </w:tc>
        <w:tc>
          <w:tcPr>
            <w:tcW w:w="2710" w:type="dxa"/>
            <w:gridSpan w:val="6"/>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陈美宝</w:t>
            </w:r>
          </w:p>
        </w:tc>
        <w:tc>
          <w:tcPr>
            <w:tcW w:w="2875" w:type="dxa"/>
            <w:gridSpan w:val="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编制过程</w:t>
            </w:r>
          </w:p>
        </w:tc>
        <w:tc>
          <w:tcPr>
            <w:tcW w:w="2174"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报告编制人</w:t>
            </w:r>
          </w:p>
        </w:tc>
        <w:tc>
          <w:tcPr>
            <w:tcW w:w="2073"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报告提交日期</w:t>
            </w:r>
          </w:p>
        </w:tc>
        <w:tc>
          <w:tcPr>
            <w:tcW w:w="2169"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报告审核人</w:t>
            </w:r>
          </w:p>
        </w:tc>
        <w:tc>
          <w:tcPr>
            <w:tcW w:w="2156" w:type="dxa"/>
            <w:gridSpan w:val="2"/>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2174" w:type="dxa"/>
            <w:gridSpan w:val="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罗刚</w:t>
            </w:r>
          </w:p>
        </w:tc>
        <w:tc>
          <w:tcPr>
            <w:tcW w:w="2073" w:type="dxa"/>
            <w:gridSpan w:val="4"/>
            <w:vAlign w:val="center"/>
          </w:tcPr>
          <w:p>
            <w:pPr>
              <w:spacing w:line="500" w:lineRule="exact"/>
              <w:ind w:firstLine="0" w:firstLineChars="0"/>
              <w:jc w:val="center"/>
              <w:rPr>
                <w:rFonts w:hint="default" w:ascii="仿宋" w:hAnsi="仿宋" w:eastAsia="仿宋"/>
                <w:sz w:val="21"/>
                <w:szCs w:val="21"/>
                <w:lang w:val="en-US" w:eastAsia="zh-CN"/>
              </w:rPr>
            </w:pPr>
            <w:r>
              <w:rPr>
                <w:rFonts w:hint="eastAsia" w:ascii="仿宋" w:hAnsi="仿宋" w:eastAsia="仿宋"/>
                <w:sz w:val="21"/>
                <w:szCs w:val="21"/>
                <w:lang w:val="en-US" w:eastAsia="zh-CN"/>
              </w:rPr>
              <w:t>2025.2</w:t>
            </w:r>
          </w:p>
        </w:tc>
        <w:tc>
          <w:tcPr>
            <w:tcW w:w="2169" w:type="dxa"/>
            <w:gridSpan w:val="4"/>
            <w:vAlign w:val="center"/>
          </w:tcPr>
          <w:p>
            <w:pPr>
              <w:spacing w:line="500" w:lineRule="exact"/>
              <w:ind w:firstLine="0" w:firstLineChars="0"/>
              <w:jc w:val="center"/>
              <w:rPr>
                <w:rFonts w:hint="eastAsia" w:ascii="仿宋" w:hAnsi="仿宋" w:eastAsia="仿宋"/>
                <w:sz w:val="21"/>
                <w:szCs w:val="21"/>
              </w:rPr>
            </w:pPr>
            <w:r>
              <w:rPr>
                <w:rFonts w:hint="eastAsia" w:ascii="仿宋" w:hAnsi="仿宋" w:eastAsia="仿宋"/>
                <w:sz w:val="21"/>
                <w:szCs w:val="21"/>
              </w:rPr>
              <w:t>蒋平</w:t>
            </w:r>
          </w:p>
        </w:tc>
        <w:tc>
          <w:tcPr>
            <w:tcW w:w="2156" w:type="dxa"/>
            <w:gridSpan w:val="2"/>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姓  名</w:t>
            </w:r>
          </w:p>
        </w:tc>
        <w:tc>
          <w:tcPr>
            <w:tcW w:w="1586" w:type="dxa"/>
            <w:gridSpan w:val="2"/>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认定专业</w:t>
            </w:r>
          </w:p>
        </w:tc>
        <w:tc>
          <w:tcPr>
            <w:tcW w:w="2661"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安全评价师从业识别卡/证书编号</w:t>
            </w:r>
          </w:p>
        </w:tc>
        <w:tc>
          <w:tcPr>
            <w:tcW w:w="2662"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注册安全工程师</w:t>
            </w:r>
          </w:p>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注册证号</w:t>
            </w:r>
          </w:p>
        </w:tc>
        <w:tc>
          <w:tcPr>
            <w:tcW w:w="1663" w:type="dxa"/>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雷楠</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储运</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S011053000110193002251</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高创波</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采油</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sz w:val="21"/>
                <w:szCs w:val="21"/>
              </w:rPr>
              <w:t>S011053000110202001824</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张郑平</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电气</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S011053000110192003137</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罗刚</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安全</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S011053000110192002961</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hint="eastAsia" w:ascii="仿宋" w:hAnsi="仿宋" w:eastAsia="仿宋" w:cs="Times New Roman"/>
                <w:sz w:val="21"/>
                <w:szCs w:val="21"/>
                <w:lang w:val="en-US" w:eastAsia="zh-CN"/>
              </w:rPr>
            </w:pPr>
            <w:bookmarkStart w:id="3" w:name="_GoBack" w:colFirst="0" w:colLast="4"/>
            <w:r>
              <w:rPr>
                <w:rFonts w:hint="eastAsia" w:ascii="仿宋" w:hAnsi="仿宋" w:eastAsia="仿宋" w:cs="Times New Roman"/>
                <w:sz w:val="21"/>
                <w:szCs w:val="21"/>
              </w:rPr>
              <w:t>林波</w:t>
            </w:r>
          </w:p>
        </w:tc>
        <w:tc>
          <w:tcPr>
            <w:tcW w:w="1586" w:type="dxa"/>
            <w:gridSpan w:val="2"/>
            <w:vAlign w:val="center"/>
          </w:tcPr>
          <w:p>
            <w:pPr>
              <w:spacing w:line="240" w:lineRule="auto"/>
              <w:ind w:firstLine="0" w:firstLineChars="0"/>
              <w:jc w:val="center"/>
              <w:rPr>
                <w:rFonts w:hint="eastAsia" w:ascii="仿宋" w:hAnsi="仿宋" w:eastAsia="仿宋" w:cs="Times New Roman"/>
                <w:sz w:val="21"/>
                <w:szCs w:val="21"/>
                <w:lang w:val="en-US" w:eastAsia="zh-CN"/>
              </w:rPr>
            </w:pPr>
            <w:r>
              <w:rPr>
                <w:rFonts w:hint="eastAsia" w:ascii="仿宋" w:hAnsi="仿宋" w:eastAsia="仿宋" w:cs="Times New Roman"/>
                <w:sz w:val="21"/>
                <w:szCs w:val="21"/>
              </w:rPr>
              <w:t>化工工艺</w:t>
            </w:r>
          </w:p>
        </w:tc>
        <w:tc>
          <w:tcPr>
            <w:tcW w:w="2661" w:type="dxa"/>
            <w:gridSpan w:val="5"/>
            <w:vAlign w:val="center"/>
          </w:tcPr>
          <w:p>
            <w:pPr>
              <w:spacing w:line="240" w:lineRule="auto"/>
              <w:ind w:firstLine="0" w:firstLineChars="0"/>
              <w:jc w:val="center"/>
              <w:rPr>
                <w:rFonts w:hint="eastAsia" w:ascii="仿宋" w:hAnsi="仿宋" w:eastAsia="仿宋" w:cs="Times New Roman"/>
                <w:sz w:val="21"/>
                <w:szCs w:val="21"/>
                <w:lang w:val="en-US" w:eastAsia="zh-CN"/>
              </w:rPr>
            </w:pPr>
            <w:r>
              <w:rPr>
                <w:rFonts w:hint="eastAsia" w:ascii="仿宋" w:hAnsi="仿宋" w:eastAsia="仿宋" w:cs="Times New Roman"/>
                <w:sz w:val="21"/>
                <w:szCs w:val="21"/>
              </w:rPr>
              <w:t>S011053000110192002987</w:t>
            </w:r>
          </w:p>
        </w:tc>
        <w:tc>
          <w:tcPr>
            <w:tcW w:w="2662" w:type="dxa"/>
            <w:gridSpan w:val="5"/>
            <w:vAlign w:val="center"/>
          </w:tcPr>
          <w:p>
            <w:pPr>
              <w:spacing w:line="240" w:lineRule="auto"/>
              <w:ind w:firstLine="0" w:firstLineChars="0"/>
              <w:jc w:val="center"/>
              <w:rPr>
                <w:rFonts w:hint="eastAsia" w:ascii="仿宋" w:hAnsi="仿宋" w:eastAsia="仿宋" w:cs="Times New Roman"/>
                <w:sz w:val="21"/>
                <w:szCs w:val="21"/>
                <w:lang w:val="en-US" w:eastAsia="zh-CN"/>
              </w:rPr>
            </w:pPr>
          </w:p>
        </w:tc>
        <w:tc>
          <w:tcPr>
            <w:tcW w:w="1663" w:type="dxa"/>
            <w:vAlign w:val="center"/>
          </w:tcPr>
          <w:p>
            <w:pPr>
              <w:spacing w:line="240" w:lineRule="auto"/>
              <w:ind w:firstLine="0" w:firstLineChars="0"/>
              <w:jc w:val="center"/>
              <w:rPr>
                <w:rFonts w:hint="eastAsia" w:ascii="仿宋" w:hAnsi="仿宋" w:eastAsia="仿宋" w:cs="Times New Roman"/>
                <w:sz w:val="21"/>
                <w:szCs w:val="21"/>
                <w:lang w:val="en-US" w:eastAsia="zh-CN"/>
              </w:rPr>
            </w:pPr>
            <w:r>
              <w:rPr>
                <w:rFonts w:hint="eastAsia" w:ascii="仿宋" w:hAnsi="仿宋" w:eastAsia="仿宋" w:cs="Times New Roman"/>
                <w:sz w:val="21"/>
                <w:szCs w:val="21"/>
                <w:lang w:eastAsia="zh-CN"/>
              </w:rPr>
              <w:t>是</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赵紫微</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机械</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S</w:t>
            </w:r>
            <w:r>
              <w:rPr>
                <w:rFonts w:ascii="仿宋" w:hAnsi="仿宋" w:eastAsia="仿宋"/>
                <w:sz w:val="21"/>
                <w:szCs w:val="21"/>
              </w:rPr>
              <w:t>011053000110202001889</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r>
              <w:rPr>
                <w:rFonts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陈美宝</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储运</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sz w:val="21"/>
                <w:szCs w:val="21"/>
              </w:rPr>
              <w:t>1500000000100116</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0100948</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冯皓</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机械</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ascii="仿宋" w:hAnsi="仿宋" w:eastAsia="仿宋"/>
                <w:sz w:val="21"/>
                <w:szCs w:val="21"/>
              </w:rPr>
              <w:t>1600000000201291</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0177668</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7" w:hRule="exact"/>
        </w:trPr>
        <w:tc>
          <w:tcPr>
            <w:tcW w:w="1390" w:type="dxa"/>
            <w:vAlign w:val="center"/>
          </w:tcPr>
          <w:p>
            <w:pPr>
              <w:spacing w:line="500" w:lineRule="exact"/>
              <w:ind w:firstLine="0" w:firstLineChars="0"/>
              <w:jc w:val="center"/>
              <w:rPr>
                <w:rFonts w:ascii="仿宋" w:hAnsi="仿宋" w:eastAsia="仿宋"/>
                <w:sz w:val="21"/>
                <w:szCs w:val="21"/>
              </w:rPr>
            </w:pPr>
            <w:r>
              <w:rPr>
                <w:rFonts w:hint="eastAsia" w:ascii="仿宋" w:hAnsi="仿宋" w:eastAsia="仿宋"/>
                <w:b/>
                <w:sz w:val="21"/>
                <w:szCs w:val="21"/>
              </w:rPr>
              <w:t>项目简介</w:t>
            </w:r>
          </w:p>
        </w:tc>
        <w:tc>
          <w:tcPr>
            <w:tcW w:w="8572" w:type="dxa"/>
            <w:gridSpan w:val="13"/>
            <w:vAlign w:val="center"/>
          </w:tcPr>
          <w:p>
            <w:pPr>
              <w:adjustRightInd w:val="0"/>
              <w:snapToGrid w:val="0"/>
              <w:spacing w:line="240" w:lineRule="auto"/>
              <w:ind w:firstLineChars="0"/>
              <w:rPr>
                <w:rFonts w:ascii="仿宋" w:hAnsi="仿宋" w:eastAsia="仿宋"/>
                <w:bCs/>
                <w:sz w:val="21"/>
              </w:rPr>
            </w:pPr>
            <w:r>
              <w:rPr>
                <w:rFonts w:hint="eastAsia" w:ascii="仿宋" w:hAnsi="仿宋" w:eastAsia="仿宋"/>
                <w:bCs/>
                <w:sz w:val="21"/>
              </w:rPr>
              <w:t>中石油安岳天然气净化有限公司（以下简称“安岳天然气净化公司”）位于四川省资阳市安岳县人和镇文寨村二组。安岳天然气净化公司单列装置脱硫吸收塔塔底目前流出的富胺液压力约为6.0Mpa.g，通过吸收塔底液位调节阀降压至0.6Mpa.g之后进入闪蒸罐。这部分压降通过减压阀调节会造成大量的能量浪费。</w:t>
            </w:r>
          </w:p>
          <w:p>
            <w:pPr>
              <w:adjustRightInd w:val="0"/>
              <w:snapToGrid w:val="0"/>
              <w:spacing w:line="240" w:lineRule="auto"/>
              <w:ind w:firstLine="560" w:firstLineChars="0"/>
              <w:rPr>
                <w:rFonts w:hint="eastAsia" w:ascii="仿宋" w:hAnsi="仿宋" w:eastAsia="仿宋"/>
                <w:bCs/>
                <w:sz w:val="21"/>
              </w:rPr>
            </w:pPr>
            <w:r>
              <w:rPr>
                <w:rFonts w:hint="eastAsia" w:ascii="仿宋" w:hAnsi="仿宋" w:eastAsia="仿宋"/>
                <w:bCs/>
                <w:sz w:val="21"/>
              </w:rPr>
              <w:t>中石油安岳天然气净化有限公司Ⅰ列脱硫富液余能余压利用工程（以下简称“本工程”）主要通过回收富胺液节能降压能量，达到节约能源、减排增效的目的。即对安岳天然气净化公司吸收塔底富液出口管线进行改造，通过增设液力透平回收脱硫吸收塔塔底富液节流降压的能量用于发电。</w:t>
            </w:r>
          </w:p>
          <w:p>
            <w:pPr>
              <w:adjustRightInd w:val="0"/>
              <w:snapToGrid w:val="0"/>
              <w:spacing w:line="240" w:lineRule="auto"/>
              <w:ind w:firstLine="560" w:firstLineChars="0"/>
              <w:rPr>
                <w:rFonts w:hint="eastAsia" w:ascii="仿宋" w:hAnsi="仿宋" w:eastAsia="仿宋"/>
                <w:bCs/>
                <w:sz w:val="21"/>
                <w:lang w:eastAsia="zh-CN"/>
              </w:rPr>
            </w:pPr>
            <w:r>
              <w:drawing>
                <wp:inline distT="0" distB="0" distL="114300" distR="114300">
                  <wp:extent cx="4149725" cy="3182620"/>
                  <wp:effectExtent l="0" t="0" r="3175" b="1778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4"/>
                          <a:stretch>
                            <a:fillRect/>
                          </a:stretch>
                        </pic:blipFill>
                        <pic:spPr>
                          <a:xfrm>
                            <a:off x="0" y="0"/>
                            <a:ext cx="4149725" cy="318262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 w:hRule="atLeast"/>
        </w:trPr>
        <w:tc>
          <w:tcPr>
            <w:tcW w:w="1390" w:type="dxa"/>
            <w:vMerge w:val="restart"/>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现场开展工作情况</w:t>
            </w: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勘验人员</w:t>
            </w:r>
          </w:p>
        </w:tc>
        <w:tc>
          <w:tcPr>
            <w:tcW w:w="1618" w:type="dxa"/>
            <w:gridSpan w:val="3"/>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勘验时间</w:t>
            </w:r>
          </w:p>
        </w:tc>
        <w:tc>
          <w:tcPr>
            <w:tcW w:w="1815" w:type="dxa"/>
            <w:gridSpan w:val="3"/>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勘验任务</w:t>
            </w:r>
          </w:p>
        </w:tc>
        <w:tc>
          <w:tcPr>
            <w:tcW w:w="3553" w:type="dxa"/>
            <w:gridSpan w:val="5"/>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sz w:val="21"/>
                <w:szCs w:val="21"/>
              </w:rPr>
            </w:pP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罗刚</w:t>
            </w:r>
          </w:p>
        </w:tc>
        <w:tc>
          <w:tcPr>
            <w:tcW w:w="1618" w:type="dxa"/>
            <w:gridSpan w:val="3"/>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202</w:t>
            </w:r>
            <w:r>
              <w:rPr>
                <w:rFonts w:ascii="仿宋" w:hAnsi="仿宋" w:eastAsia="仿宋"/>
                <w:sz w:val="21"/>
                <w:szCs w:val="21"/>
              </w:rPr>
              <w:t>4.4.24</w:t>
            </w:r>
          </w:p>
        </w:tc>
        <w:tc>
          <w:tcPr>
            <w:tcW w:w="1815" w:type="dxa"/>
            <w:gridSpan w:val="3"/>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项目负责</w:t>
            </w:r>
          </w:p>
        </w:tc>
        <w:tc>
          <w:tcPr>
            <w:tcW w:w="3553" w:type="dxa"/>
            <w:gridSpan w:val="5"/>
            <w:vMerge w:val="restart"/>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安岳天然气净化公司周边150m范围内的民房已拆迁，最近散居民房位于净化公司南侧186m处，净化公司距东侧遂宜毕高速公路345m。放空火炬120m范围内无散居民房，距西北侧和东南侧民房均为126m。</w:t>
            </w:r>
          </w:p>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以脱硫装置为中心，300m范围内无100人以上居住区、厂矿、乡镇、学校、医院、公共福利设施等特殊保护目标。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田茂毅</w:t>
            </w:r>
          </w:p>
        </w:tc>
        <w:tc>
          <w:tcPr>
            <w:tcW w:w="1618" w:type="dxa"/>
            <w:gridSpan w:val="3"/>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202</w:t>
            </w:r>
            <w:r>
              <w:rPr>
                <w:rFonts w:ascii="仿宋" w:hAnsi="仿宋" w:eastAsia="仿宋"/>
                <w:sz w:val="21"/>
                <w:szCs w:val="21"/>
              </w:rPr>
              <w:t>4.4.24</w:t>
            </w:r>
          </w:p>
        </w:tc>
        <w:tc>
          <w:tcPr>
            <w:tcW w:w="1815" w:type="dxa"/>
            <w:gridSpan w:val="3"/>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现场勘察，资料收集</w:t>
            </w:r>
          </w:p>
        </w:tc>
        <w:tc>
          <w:tcPr>
            <w:tcW w:w="3553" w:type="dxa"/>
            <w:gridSpan w:val="5"/>
            <w:vMerge w:val="continue"/>
            <w:vAlign w:val="center"/>
          </w:tcPr>
          <w:p>
            <w:pPr>
              <w:spacing w:line="300" w:lineRule="exact"/>
              <w:ind w:firstLine="0" w:firstLineChars="0"/>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1586" w:type="dxa"/>
            <w:gridSpan w:val="2"/>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c>
          <w:tcPr>
            <w:tcW w:w="1618" w:type="dxa"/>
            <w:gridSpan w:val="3"/>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c>
          <w:tcPr>
            <w:tcW w:w="1815" w:type="dxa"/>
            <w:gridSpan w:val="3"/>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c>
          <w:tcPr>
            <w:tcW w:w="3553"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E873D7"/>
    <w:rsid w:val="571E7E45"/>
    <w:rsid w:val="60E873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Arial" w:hAnsi="Arial" w:eastAsia="宋体" w:cs="Times New Roman"/>
      <w:kern w:val="2"/>
      <w:sz w:val="28"/>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afterLines="0" w:afterAutospacing="0"/>
      <w:ind w:left="42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2025-03-05T02:23:00Z</dcterms:created>
  <dc:creator>雷楠</dc:creator>
  <cp:lastModifiedBy>雷楠</cp:lastModifiedBy>
  <dcterms:modified xsi:type="dcterms:W3CDTF">2025-03-06T04:03:34Z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