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4090"/>
      <w:bookmarkStart w:id="1" w:name="_Toc29322"/>
      <w:bookmarkStart w:id="2" w:name="_Toc16094"/>
      <w:bookmarkStart w:id="3" w:name="_Toc27661"/>
      <w:bookmarkStart w:id="4" w:name="_Toc16246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中国石化江汉油田分公司采气一厂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南北联络线隐患治理工程安全预评价报告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林波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2025.01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高胡容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S011053000110192002940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S011053000110192002987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szCs w:val="21"/>
              </w:rPr>
              <w:t>项目主要建设内容包括：</w:t>
            </w:r>
            <w:r>
              <w:rPr>
                <w:rStyle w:val="4"/>
                <w:rFonts w:hint="eastAsia" w:ascii="仿宋" w:hAnsi="仿宋" w:eastAsia="仿宋"/>
                <w:sz w:val="21"/>
                <w:szCs w:val="21"/>
              </w:rPr>
              <w:t>迁建南北联络线管道7段合计2720m；其中迁建原料气管道5段(与净化气管道并行迁建4段)小计1180m，设计压力6.3MPa，采用D219.1×7mm L360NS 无缝钢管；迁建净化气管道6段(与原料气管道并行迁建4段)小计1540m，设计压力4.0MPa，采用D114×6.0mm L360N 无缝钢管。南、北集气站均增加进出站绝缘接头各1个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026025" cy="3755390"/>
                  <wp:effectExtent l="0" t="0" r="3175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6025" cy="3755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2025.01.07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116E8"/>
    <w:rsid w:val="2C511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cmb Char"/>
    <w:link w:val="5"/>
    <w:uiPriority w:val="0"/>
    <w:rPr>
      <w:rFonts w:ascii="Arial" w:hAnsi="Arial"/>
      <w:color w:val="000000"/>
      <w:kern w:val="0"/>
      <w:sz w:val="28"/>
    </w:rPr>
  </w:style>
  <w:style w:type="paragraph" w:customStyle="1" w:styleId="5">
    <w:name w:val="正文cmb"/>
    <w:basedOn w:val="1"/>
    <w:link w:val="4"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color w:val="000000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2025-02-20T02:17:00Z</dcterms:created>
  <dc:creator>雷楠</dc:creator>
  <cp:lastModifiedBy>雷楠</cp:lastModifiedBy>
  <dcterms:modified xsi:type="dcterms:W3CDTF">2025-02-20T02:17:22Z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