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zh-CN" w:eastAsia="zh-CN"/>
              </w:rPr>
              <w:t>重庆惠兴机械设备租赁有限公司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zh-CN" w:eastAsia="zh-CN"/>
              </w:rPr>
              <w:t>重庆惠兴机械设备租赁有限公司建筑石料用灰岩矿(重大变更）安全设施验收评价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金属非金属矿山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  <w:lang w:val="en-US" w:eastAsia="zh-CN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  <w:lang w:val="en-US" w:eastAsia="zh-CN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陈兴勇/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2025.2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杨平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1600000000301658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孟萌萌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00000000301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地质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1800000000301234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0800000000103084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wordWrap w:val="0"/>
              <w:ind w:firstLine="560"/>
              <w:rPr>
                <w:rFonts w:hint="eastAsia"/>
                <w:szCs w:val="21"/>
                <w:lang w:val="zh-CN" w:eastAsia="zh-CN"/>
              </w:rPr>
            </w:pPr>
            <w:r>
              <w:rPr>
                <w:rFonts w:hint="eastAsia"/>
                <w:szCs w:val="21"/>
                <w:lang w:val="zh-CN" w:eastAsia="zh-CN"/>
              </w:rPr>
              <w:t>重庆惠兴机械设备租赁有限公司成立于2019年5月13日，经营场所位于重庆市大足区古龙镇忠义村4组，法定代表人为夏熠，统一社会信用代码为91500223MA60CQGH58；经营范围包括矿产资源（非煤矿山）开采等。</w:t>
            </w:r>
          </w:p>
          <w:p>
            <w:pPr>
              <w:wordWrap w:val="0"/>
              <w:ind w:firstLine="560"/>
              <w:rPr>
                <w:rFonts w:hint="eastAsia"/>
                <w:szCs w:val="21"/>
                <w:lang w:val="zh-CN" w:eastAsia="zh-CN"/>
              </w:rPr>
            </w:pPr>
            <w:r>
              <w:rPr>
                <w:rFonts w:hint="eastAsia"/>
                <w:szCs w:val="21"/>
                <w:lang w:val="zh-CN" w:eastAsia="zh-CN"/>
              </w:rPr>
              <w:t>2019年6月24日重庆惠兴机械设备租赁有限公司以拍卖的形式获得本采矿权，并于2020年5月15日取得采矿许可证，2022年6月17日取得延期换发的采矿许可证（证号：C5002252009097120048503，有效期限：2022年6月24日至2027年3月24日），矿山生产规模为51万吨/年，矿区面积为0.0649km2，开采深度为+575m～+460m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现场勘察照片：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4238625" cy="31242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8625" cy="312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DB67F8"/>
    <w:rsid w:val="4EDB6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2025-03-03T06:44:00Z</dcterms:created>
  <dc:creator>雷楠</dc:creator>
  <cp:lastModifiedBy>雷楠</cp:lastModifiedBy>
  <dcterms:modified xsi:type="dcterms:W3CDTF">2025-03-03T06:44:24Z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