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ascii="仿宋" w:hAnsi="仿宋" w:eastAsia="仿宋"/>
                <w:color w:val="auto"/>
                <w:szCs w:val="21"/>
              </w:rPr>
            </w:pPr>
            <w:r>
              <w:rPr>
                <w:rFonts w:hint="eastAsia" w:ascii="仿宋" w:hAnsi="仿宋" w:eastAsia="仿宋"/>
                <w:color w:val="auto"/>
                <w:szCs w:val="21"/>
              </w:rPr>
              <w:t>重庆凯源石油天然气有限责任公司万州分公司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ascii="仿宋" w:hAnsi="仿宋" w:eastAsia="仿宋"/>
                <w:bCs/>
                <w:color w:val="auto"/>
                <w:szCs w:val="21"/>
              </w:rPr>
            </w:pPr>
            <w:r>
              <w:rPr>
                <w:rFonts w:hint="eastAsia" w:ascii="仿宋" w:hAnsi="仿宋" w:eastAsia="仿宋"/>
                <w:bCs/>
                <w:color w:val="auto"/>
                <w:szCs w:val="21"/>
              </w:rPr>
              <w:t>重庆凯源石油天然气有限责任公司万州分公司九池桐花新村至泉活新村管线工程安全预评价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ascii="仿宋" w:hAnsi="仿宋" w:eastAsia="仿宋"/>
                <w:color w:val="auto"/>
                <w:szCs w:val="21"/>
              </w:rPr>
              <w:sym w:font="Wingdings 2" w:char="0052"/>
            </w: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ascii="仿宋" w:hAnsi="仿宋" w:eastAsia="仿宋"/>
                <w:color w:val="auto"/>
                <w:szCs w:val="21"/>
              </w:rPr>
            </w:pPr>
            <w:r>
              <w:rPr>
                <w:rFonts w:ascii="仿宋" w:hAnsi="仿宋" w:eastAsia="仿宋"/>
                <w:color w:val="auto"/>
                <w:szCs w:val="21"/>
              </w:rPr>
              <w:t>城镇燃气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包鹏</w:t>
            </w:r>
          </w:p>
        </w:tc>
        <w:tc>
          <w:tcPr>
            <w:tcW w:w="2710" w:type="dxa"/>
            <w:gridSpan w:val="6"/>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陈美宝</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包鹏、</w:t>
            </w:r>
            <w:r>
              <w:rPr>
                <w:rFonts w:hint="eastAsia" w:ascii="仿宋" w:hAnsi="仿宋" w:eastAsia="仿宋"/>
                <w:color w:val="auto"/>
                <w:szCs w:val="21"/>
              </w:rPr>
              <w:t>蒋平</w:t>
            </w:r>
          </w:p>
        </w:tc>
        <w:tc>
          <w:tcPr>
            <w:tcW w:w="2923"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2021.2</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包  鹏</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S011021000110191000318/</w:t>
            </w:r>
            <w:r>
              <w:rPr>
                <w:rFonts w:ascii="仿宋" w:hAnsi="仿宋" w:eastAsia="仿宋"/>
                <w:color w:val="auto"/>
                <w:szCs w:val="21"/>
              </w:rPr>
              <w:t>019236</w:t>
            </w:r>
          </w:p>
        </w:tc>
        <w:tc>
          <w:tcPr>
            <w:tcW w:w="1812" w:type="dxa"/>
            <w:gridSpan w:val="5"/>
            <w:noWrap w:val="0"/>
            <w:vAlign w:val="center"/>
          </w:tcPr>
          <w:p>
            <w:pPr>
              <w:jc w:val="center"/>
              <w:rPr>
                <w:rFonts w:ascii="仿宋" w:hAnsi="仿宋" w:eastAsia="仿宋"/>
                <w:color w:val="auto"/>
                <w:szCs w:val="21"/>
              </w:rPr>
            </w:pPr>
            <w:r>
              <w:rPr>
                <w:rFonts w:ascii="仿宋" w:hAnsi="仿宋" w:eastAsia="仿宋"/>
                <w:color w:val="auto"/>
                <w:szCs w:val="21"/>
              </w:rPr>
              <w:t>55100092643</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易安柯</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储运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S011053000110193002441/035801</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auto"/>
                <w:szCs w:val="21"/>
              </w:rPr>
            </w:pPr>
            <w:r>
              <w:rPr>
                <w:rFonts w:hint="eastAsia" w:ascii="仿宋" w:hAnsi="仿宋" w:eastAsia="仿宋"/>
                <w:color w:val="auto"/>
                <w:szCs w:val="21"/>
              </w:rPr>
              <w:t>雷  楠</w:t>
            </w:r>
          </w:p>
        </w:tc>
        <w:tc>
          <w:tcPr>
            <w:tcW w:w="1586" w:type="dxa"/>
            <w:gridSpan w:val="2"/>
            <w:noWrap w:val="0"/>
            <w:vAlign w:val="center"/>
          </w:tcPr>
          <w:p>
            <w:pPr>
              <w:jc w:val="center"/>
              <w:rPr>
                <w:rFonts w:ascii="仿宋" w:hAnsi="仿宋" w:eastAsia="仿宋"/>
                <w:color w:val="auto"/>
                <w:szCs w:val="21"/>
              </w:rPr>
            </w:pPr>
            <w:r>
              <w:rPr>
                <w:rFonts w:hint="eastAsia" w:ascii="仿宋" w:hAnsi="仿宋" w:eastAsia="仿宋"/>
                <w:color w:val="auto"/>
                <w:szCs w:val="21"/>
              </w:rPr>
              <w:t>储运</w:t>
            </w:r>
          </w:p>
        </w:tc>
        <w:tc>
          <w:tcPr>
            <w:tcW w:w="3511" w:type="dxa"/>
            <w:gridSpan w:val="5"/>
            <w:noWrap w:val="0"/>
            <w:vAlign w:val="center"/>
          </w:tcPr>
          <w:p>
            <w:pPr>
              <w:jc w:val="center"/>
              <w:rPr>
                <w:rFonts w:ascii="仿宋" w:hAnsi="仿宋" w:eastAsia="仿宋"/>
                <w:color w:val="auto"/>
                <w:szCs w:val="21"/>
              </w:rPr>
            </w:pPr>
            <w:r>
              <w:rPr>
                <w:rFonts w:ascii="仿宋" w:hAnsi="仿宋" w:eastAsia="仿宋"/>
                <w:color w:val="auto"/>
                <w:szCs w:val="21"/>
              </w:rPr>
              <w:t>S011053000110193002251</w:t>
            </w:r>
            <w:r>
              <w:rPr>
                <w:rFonts w:hint="eastAsia" w:ascii="仿宋" w:hAnsi="仿宋" w:eastAsia="仿宋"/>
                <w:color w:val="auto"/>
                <w:szCs w:val="21"/>
              </w:rPr>
              <w:t>/035553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王  梅</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S011053000110191001147/019244</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唐  波</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S011053000110192003004/035894</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蒋  平</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采油</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1700000000301840/030718</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55170171255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李  伟</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1800000000201220/020783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刘文娟</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电气仪表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1700000000201153/019235</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蔡治勇</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火工</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0800000000102949/003832</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55080052964</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auto"/>
                <w:szCs w:val="21"/>
              </w:rPr>
            </w:pPr>
            <w:r>
              <w:rPr>
                <w:rFonts w:hint="eastAsia" w:ascii="仿宋" w:hAnsi="仿宋" w:eastAsia="仿宋"/>
                <w:color w:val="auto"/>
                <w:szCs w:val="21"/>
              </w:rPr>
              <w:t>冯  皓</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1600000000201291/</w:t>
            </w:r>
            <w:r>
              <w:rPr>
                <w:rFonts w:ascii="仿宋" w:hAnsi="仿宋" w:eastAsia="仿宋"/>
                <w:color w:val="auto"/>
                <w:szCs w:val="21"/>
              </w:rPr>
              <w:t>019237</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55130140330</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陈美宝</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机械、防腐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1500000000100116/</w:t>
            </w:r>
            <w:r>
              <w:rPr>
                <w:rFonts w:ascii="仿宋" w:hAnsi="仿宋" w:eastAsia="仿宋"/>
                <w:color w:val="auto"/>
                <w:szCs w:val="21"/>
              </w:rPr>
              <w:t>016795</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55090076429</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pStyle w:val="5"/>
              <w:ind w:firstLine="420"/>
              <w:rPr>
                <w:rFonts w:hint="eastAsia"/>
                <w:color w:val="auto"/>
                <w:sz w:val="21"/>
              </w:rPr>
            </w:pPr>
            <w:r>
              <w:rPr>
                <w:rFonts w:hint="eastAsia"/>
                <w:color w:val="auto"/>
                <w:sz w:val="21"/>
              </w:rPr>
              <w:t>重庆凯源石油天然气有限责任公司万州分公司拟新建设一条总长约3.53km中压城镇燃气管道。该工程管道设计压力为0.4MPa，其中新建0.9km直缝钢管D108中压燃气管道长约110m，新建</w:t>
            </w:r>
            <w:r>
              <w:rPr>
                <w:color w:val="auto"/>
                <w:sz w:val="21"/>
              </w:rPr>
              <w:t>聚乙烯管道</w:t>
            </w:r>
            <w:r>
              <w:rPr>
                <w:rFonts w:hint="eastAsia"/>
                <w:color w:val="auto"/>
                <w:sz w:val="21"/>
              </w:rPr>
              <w:t>PE100中压燃气管道长约3.42km。该项目为</w:t>
            </w:r>
            <w:r>
              <w:rPr>
                <w:color w:val="auto"/>
                <w:sz w:val="21"/>
              </w:rPr>
              <w:t>贯彻“安全第一、预防为主、综合治理”的</w:t>
            </w:r>
            <w:r>
              <w:rPr>
                <w:rFonts w:hint="eastAsia"/>
                <w:color w:val="auto"/>
                <w:sz w:val="21"/>
              </w:rPr>
              <w:t>安全生产</w:t>
            </w:r>
            <w:r>
              <w:rPr>
                <w:color w:val="auto"/>
                <w:sz w:val="21"/>
              </w:rPr>
              <w:t>方针，落实《中华人民共和国安全生产法》</w:t>
            </w:r>
            <w:r>
              <w:rPr>
                <w:rFonts w:hint="eastAsia"/>
                <w:color w:val="auto"/>
                <w:sz w:val="21"/>
              </w:rPr>
              <w:t>、《建设项目安全设施“三同时”监督管理办法》、</w:t>
            </w:r>
            <w:r>
              <w:rPr>
                <w:color w:val="auto"/>
                <w:sz w:val="21"/>
              </w:rPr>
              <w:t>《</w:t>
            </w:r>
            <w:r>
              <w:rPr>
                <w:rFonts w:hint="eastAsia"/>
                <w:color w:val="auto"/>
                <w:sz w:val="21"/>
              </w:rPr>
              <w:t>重庆市天然气条例</w:t>
            </w:r>
            <w:r>
              <w:rPr>
                <w:color w:val="auto"/>
                <w:sz w:val="21"/>
              </w:rPr>
              <w:t>》等法律法规，</w:t>
            </w:r>
            <w:r>
              <w:rPr>
                <w:rFonts w:hint="eastAsia"/>
                <w:color w:val="auto"/>
                <w:sz w:val="21"/>
              </w:rPr>
              <w:t>委托安评单位进行</w:t>
            </w:r>
            <w:r>
              <w:rPr>
                <w:color w:val="auto"/>
                <w:sz w:val="21"/>
              </w:rPr>
              <w:t>辨识与分析建设项目潜在的危险、有害因，开展工作</w:t>
            </w:r>
            <w:r>
              <w:rPr>
                <w:rFonts w:hint="eastAsia"/>
                <w:color w:val="auto"/>
                <w:sz w:val="21"/>
              </w:rPr>
              <w:t>。</w:t>
            </w:r>
          </w:p>
          <w:p>
            <w:pPr>
              <w:pStyle w:val="5"/>
              <w:ind w:left="0" w:leftChars="0" w:firstLine="0" w:firstLineChars="0"/>
              <w:rPr>
                <w:rFonts w:hint="eastAsia" w:eastAsia="宋体"/>
                <w:color w:val="auto"/>
                <w:sz w:val="21"/>
                <w:lang w:eastAsia="zh-CN"/>
              </w:rPr>
            </w:pPr>
            <w:r>
              <w:rPr>
                <w:rFonts w:hint="eastAsia" w:eastAsia="宋体"/>
                <w:color w:val="auto"/>
                <w:sz w:val="21"/>
                <w:lang w:eastAsia="zh-CN"/>
              </w:rPr>
              <w:drawing>
                <wp:inline distT="0" distB="0" distL="114300" distR="114300">
                  <wp:extent cx="2499360" cy="3332480"/>
                  <wp:effectExtent l="0" t="0" r="15240" b="1270"/>
                  <wp:docPr id="1" name="图片 1" descr="IMG_20210115_114808组长现场照片 (万州凯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115_114808组长现场照片 (万州凯源)"/>
                          <pic:cNvPicPr>
                            <a:picLocks noChangeAspect="1"/>
                          </pic:cNvPicPr>
                        </pic:nvPicPr>
                        <pic:blipFill>
                          <a:blip r:embed="rId4"/>
                          <a:stretch>
                            <a:fillRect/>
                          </a:stretch>
                        </pic:blipFill>
                        <pic:spPr>
                          <a:xfrm>
                            <a:off x="0" y="0"/>
                            <a:ext cx="2499360" cy="33324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包鹏</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2021.1.15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项目负责人</w:t>
            </w:r>
          </w:p>
        </w:tc>
        <w:tc>
          <w:tcPr>
            <w:tcW w:w="3333" w:type="dxa"/>
            <w:gridSpan w:val="5"/>
            <w:noWrap w:val="0"/>
            <w:vAlign w:val="center"/>
          </w:tcPr>
          <w:p>
            <w:pPr>
              <w:spacing w:line="300" w:lineRule="exact"/>
              <w:jc w:val="center"/>
              <w:rPr>
                <w:rFonts w:ascii="仿宋" w:hAnsi="仿宋" w:eastAsia="仿宋"/>
                <w:color w:val="auto"/>
                <w:szCs w:val="21"/>
              </w:rPr>
            </w:pPr>
            <w:r>
              <w:rPr>
                <w:rFonts w:ascii="仿宋" w:hAnsi="仿宋" w:eastAsia="仿宋"/>
                <w:color w:val="auto"/>
                <w:szCs w:val="21"/>
              </w:rPr>
              <w:t>项目与乡村道路路边或边沟并行敷设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蒋平</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2021.1.15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项目成员</w:t>
            </w:r>
          </w:p>
        </w:tc>
        <w:tc>
          <w:tcPr>
            <w:tcW w:w="3333" w:type="dxa"/>
            <w:gridSpan w:val="5"/>
            <w:noWrap w:val="0"/>
            <w:vAlign w:val="center"/>
          </w:tcPr>
          <w:p>
            <w:pPr>
              <w:widowControl/>
              <w:jc w:val="left"/>
              <w:rPr>
                <w:rFonts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377" w:type="dxa"/>
            <w:gridSpan w:val="4"/>
            <w:noWrap w:val="0"/>
            <w:vAlign w:val="center"/>
          </w:tcPr>
          <w:p>
            <w:pPr>
              <w:spacing w:line="300" w:lineRule="exact"/>
              <w:jc w:val="center"/>
              <w:rPr>
                <w:rFonts w:ascii="仿宋" w:hAnsi="仿宋" w:eastAsia="仿宋"/>
                <w:b/>
                <w:color w:val="auto"/>
                <w:szCs w:val="21"/>
              </w:rPr>
            </w:pPr>
          </w:p>
        </w:tc>
        <w:tc>
          <w:tcPr>
            <w:tcW w:w="1276" w:type="dxa"/>
            <w:gridSpan w:val="2"/>
            <w:noWrap w:val="0"/>
            <w:vAlign w:val="center"/>
          </w:tcPr>
          <w:p>
            <w:pPr>
              <w:spacing w:line="300" w:lineRule="exact"/>
              <w:jc w:val="center"/>
              <w:rPr>
                <w:rFonts w:ascii="仿宋" w:hAnsi="仿宋" w:eastAsia="仿宋"/>
                <w:b/>
                <w:color w:val="auto"/>
                <w:szCs w:val="21"/>
              </w:rPr>
            </w:pPr>
          </w:p>
        </w:tc>
        <w:tc>
          <w:tcPr>
            <w:tcW w:w="3333" w:type="dxa"/>
            <w:gridSpan w:val="5"/>
            <w:noWrap w:val="0"/>
            <w:vAlign w:val="center"/>
          </w:tcPr>
          <w:p>
            <w:pPr>
              <w:spacing w:line="300" w:lineRule="exact"/>
              <w:jc w:val="center"/>
              <w:rPr>
                <w:rFonts w:ascii="仿宋" w:hAnsi="仿宋" w:eastAsia="仿宋"/>
                <w:b/>
                <w:color w:val="auto"/>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C2BB4"/>
    <w:rsid w:val="2DEC2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99"/>
    <w:pPr>
      <w:spacing w:line="360" w:lineRule="auto"/>
      <w:ind w:firstLine="397"/>
    </w:pPr>
    <w:rPr>
      <w:sz w:val="24"/>
      <w:szCs w:val="20"/>
    </w:rPr>
  </w:style>
  <w:style w:type="paragraph" w:customStyle="1" w:styleId="5">
    <w:name w:val="CS正文"/>
    <w:basedOn w:val="1"/>
    <w:qFormat/>
    <w:uiPriority w:val="0"/>
    <w:pPr>
      <w:adjustRightInd w:val="0"/>
      <w:snapToGrid w:val="0"/>
      <w:spacing w:line="360" w:lineRule="auto"/>
      <w:ind w:firstLine="200" w:firstLineChars="200"/>
    </w:pPr>
    <w:rPr>
      <w:rFonts w:ascii="Times New Roman" w:hAnsi="Times New Roman"/>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2021-06-23T06:07:00Z</dcterms:created>
  <dc:creator>雷楠</dc:creator>
  <cp:lastModifiedBy>雷楠</cp:lastModifiedBy>
  <dcterms:modified xsi:type="dcterms:W3CDTF">2021-06-23T06:07:34Z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