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白银玖鑫钙业有限责任公司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eastAsia" w:ascii="仿宋" w:hAnsi="仿宋" w:eastAsia="仿宋"/>
                <w:bCs/>
                <w:szCs w:val="21"/>
                <w:lang w:eastAsia="zh-CN"/>
              </w:rPr>
            </w:pPr>
            <w:r>
              <w:rPr>
                <w:rFonts w:hint="eastAsia" w:ascii="仿宋" w:hAnsi="仿宋" w:eastAsia="仿宋"/>
                <w:szCs w:val="21"/>
                <w:lang w:eastAsia="zh-CN"/>
              </w:rPr>
              <w:t>白银玖鑫钙业有限责任公司阳坝铜矿大沟尾矿库安全现状评价报告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Segoe UI Symbol" w:hAnsi="Segoe UI Symbol" w:eastAsia="仿宋" w:cs="Segoe UI Symbol"/>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吴子科</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王颜龙</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lang w:val="en-US" w:eastAsia="zh-CN"/>
              </w:rPr>
              <w:t>1</w:t>
            </w:r>
            <w:r>
              <w:rPr>
                <w:rFonts w:ascii="仿宋" w:hAnsi="仿宋" w:eastAsia="仿宋"/>
                <w:szCs w:val="21"/>
              </w:rPr>
              <w:t>.</w:t>
            </w:r>
            <w:r>
              <w:rPr>
                <w:rFonts w:hint="eastAsia" w:ascii="仿宋" w:hAnsi="仿宋" w:eastAsia="仿宋"/>
                <w:szCs w:val="21"/>
                <w:lang w:val="en-US" w:eastAsia="zh-CN"/>
              </w:rPr>
              <w:t>3</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cs="宋体"/>
                <w:kern w:val="0"/>
                <w:szCs w:val="21"/>
                <w:lang w:val="en-US" w:eastAsia="zh-CN"/>
              </w:rPr>
              <w:t>吴子科</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cs="宋体"/>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苏祖明</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0800000000104214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徐茂</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通风</w:t>
            </w:r>
          </w:p>
        </w:tc>
        <w:tc>
          <w:tcPr>
            <w:tcW w:w="2661" w:type="dxa"/>
            <w:gridSpan w:val="5"/>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0800000000204169</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 w:val="21"/>
                <w:szCs w:val="21"/>
                <w:lang w:val="en-US" w:eastAsia="zh-CN" w:bidi="ar-SA"/>
              </w:rPr>
            </w:pPr>
            <w:r>
              <w:rPr>
                <w:rFonts w:hint="eastAsia" w:ascii="仿宋" w:hAnsi="仿宋" w:eastAsia="仿宋" w:cs="宋体"/>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rPr>
            </w:pPr>
            <w:r>
              <w:rPr>
                <w:rFonts w:hint="eastAsia" w:ascii="仿宋" w:hAnsi="仿宋" w:eastAsia="仿宋" w:cs="宋体"/>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唐波</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机械</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王颜龙</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lang w:val="en-US" w:eastAsia="zh-CN"/>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吴子科</w:t>
            </w:r>
          </w:p>
        </w:tc>
        <w:tc>
          <w:tcPr>
            <w:tcW w:w="1586" w:type="dxa"/>
            <w:gridSpan w:val="2"/>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1600000000201292</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蔡治勇</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火炸药、安全</w:t>
            </w:r>
          </w:p>
        </w:tc>
        <w:tc>
          <w:tcPr>
            <w:tcW w:w="2661" w:type="dxa"/>
            <w:gridSpan w:val="5"/>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kern w:val="0"/>
                <w:szCs w:val="21"/>
                <w:lang w:val="en-US" w:eastAsia="zh-CN"/>
              </w:rPr>
            </w:pPr>
          </w:p>
        </w:tc>
        <w:tc>
          <w:tcPr>
            <w:tcW w:w="1663" w:type="dxa"/>
            <w:vAlign w:val="center"/>
          </w:tcPr>
          <w:p>
            <w:pPr>
              <w:adjustRightInd w:val="0"/>
              <w:snapToGrid w:val="0"/>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bookmarkStart w:id="0" w:name="_Toc423437632"/>
            <w:r>
              <w:rPr>
                <w:rFonts w:hint="eastAsia" w:ascii="仿宋" w:hAnsi="仿宋" w:eastAsia="仿宋" w:cs="宋体"/>
                <w:bCs/>
                <w:szCs w:val="21"/>
                <w:lang w:val="en-US" w:eastAsia="zh-CN"/>
              </w:rPr>
              <w:t>一、企业简介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en-US" w:eastAsia="zh-CN"/>
              </w:rPr>
            </w:pPr>
            <w:r>
              <w:rPr>
                <w:rFonts w:hint="eastAsia" w:ascii="仿宋" w:hAnsi="仿宋" w:eastAsia="仿宋" w:cs="宋体"/>
                <w:bCs/>
                <w:szCs w:val="21"/>
                <w:lang w:val="en-US" w:eastAsia="zh-CN"/>
              </w:rPr>
              <w:t>白银玖鑫钙业有限责任公司成立于2017年08月，注册地址为甘肃省白银市白银区东台村涝池社马鞍桥子，注册资金8000万元，法人代表为魏正显。白银玖鑫钙业有限责任公司是一家从事石灰石、石膏开采；水泥、石灰和石膏制造；砖瓦、石材等建筑材料制造；非金属废料和碎屑加工；矿产品、建材的批发的综合性企业。企业统一社会信息代码：91620402MA74L86Q0X；采矿许可证号C6204002009047130034552。</w:t>
            </w:r>
          </w:p>
          <w:bookmarkEnd w:id="0"/>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zh-CN" w:eastAsia="zh-CN"/>
              </w:rPr>
            </w:pPr>
            <w:bookmarkStart w:id="1" w:name="_Toc227490309"/>
            <w:bookmarkStart w:id="2" w:name="_Toc185403055"/>
            <w:bookmarkStart w:id="3" w:name="_Toc248381623"/>
            <w:r>
              <w:rPr>
                <w:rFonts w:hint="eastAsia" w:ascii="仿宋" w:hAnsi="仿宋" w:eastAsia="仿宋" w:cs="宋体"/>
                <w:bCs/>
                <w:szCs w:val="21"/>
                <w:lang w:val="zh-CN" w:eastAsia="zh-CN"/>
              </w:rPr>
              <w:t>白银玖鑫钙业有限责任公司石灰石矿位于甘肃省白银市白银区东台村涝池社马鞍桥子，矿区西北侧680m外白银市银山水泥有限责任公司石灰石矿，矿区东北、北侧、东侧1000m范围内为荒山，矿区西南侧1500m外为白银玖鑫钙业有限责任公司破碎站及工业场地。</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zh-CN" w:eastAsia="zh-CN"/>
              </w:rPr>
            </w:pPr>
            <w:r>
              <w:rPr>
                <w:rFonts w:hint="eastAsia" w:ascii="仿宋" w:hAnsi="仿宋" w:eastAsia="仿宋" w:cs="宋体"/>
                <w:bCs/>
                <w:szCs w:val="21"/>
                <w:lang w:val="zh-CN" w:eastAsia="zh-CN"/>
              </w:rPr>
              <w:t>矿山1#拐点西侧70 m外为白银蓝益商贸有限公司石灰石矿一采区，矿山14#拐点西北侧10 m外为白银市王岘水泥厂石灰石矿三采区（王岘水泥厂石灰石矿三采区北部10m外为白银亨岳商贸有限公司石灰石矿二采区），矿山14#拐点西侧273m外为白银亨岳商贸有限公司石灰石矿一采区，矿山6#拐点西南侧380m外为白银蓝益商贸有限公司石灰石矿二采区。</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zh-CN" w:eastAsia="zh-CN"/>
              </w:rPr>
            </w:pPr>
            <w:r>
              <w:rPr>
                <w:rFonts w:hint="eastAsia" w:ascii="仿宋" w:hAnsi="仿宋" w:eastAsia="仿宋" w:cs="宋体"/>
                <w:bCs/>
                <w:szCs w:val="21"/>
                <w:lang w:val="zh-CN" w:eastAsia="zh-CN"/>
              </w:rPr>
              <w:t>矿山6#拐点~12#拐点范围外南部为白银市王岘水泥厂石灰石矿一采区，其中12#拐点距其矿界94m，其中6#拐点距其矿界335m；王岘水泥厂石灰石矿一采区2#拐点距本矿山34m，其4#拐点距本矿山150m，其9#拐点、10#拐点距本矿山15m。</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zh-CN" w:eastAsia="zh-CN"/>
              </w:rPr>
            </w:pPr>
            <w:r>
              <w:rPr>
                <w:rFonts w:hint="eastAsia" w:ascii="仿宋" w:hAnsi="仿宋" w:eastAsia="仿宋" w:cs="宋体"/>
                <w:bCs/>
                <w:szCs w:val="21"/>
                <w:lang w:val="zh-CN" w:eastAsia="zh-CN"/>
              </w:rPr>
              <w:t>总体来说，项目矿山周边矿山环绕，相互影响较大.</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szCs w:val="21"/>
                <w:lang w:val="zh-CN" w:eastAsia="zh-CN"/>
              </w:rPr>
            </w:pPr>
            <w:r>
              <w:rPr>
                <w:rFonts w:hint="eastAsia" w:ascii="仿宋" w:hAnsi="仿宋" w:eastAsia="仿宋" w:cs="宋体"/>
                <w:bCs/>
                <w:szCs w:val="21"/>
                <w:lang w:val="zh-CN" w:eastAsia="zh-CN"/>
              </w:rPr>
              <w:t>矿区周边500m范围内无学校、医院、保护文物、风景名胜区、水源地和生态敏感点等特殊保护对象，无重大危险源、无电力设施及危险化学品企业。</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rPr>
            </w:pPr>
            <w:r>
              <w:rPr>
                <w:rFonts w:ascii="宋体" w:hAnsi="宋体" w:eastAsia="宋体" w:cs="宋体"/>
                <w:sz w:val="24"/>
                <w:szCs w:val="24"/>
              </w:rPr>
              <w:drawing>
                <wp:inline distT="0" distB="0" distL="114300" distR="114300">
                  <wp:extent cx="5306695" cy="3554095"/>
                  <wp:effectExtent l="0" t="0" r="825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306695" cy="355409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白建明、</w:t>
            </w:r>
            <w:r>
              <w:rPr>
                <w:rFonts w:hint="eastAsia" w:ascii="仿宋" w:hAnsi="仿宋" w:eastAsia="仿宋" w:cs="宋体"/>
                <w:kern w:val="0"/>
                <w:szCs w:val="21"/>
                <w:lang w:val="en-US" w:eastAsia="zh-CN"/>
              </w:rPr>
              <w:t>王颜龙</w:t>
            </w:r>
          </w:p>
        </w:tc>
        <w:tc>
          <w:tcPr>
            <w:tcW w:w="2622" w:type="dxa"/>
            <w:gridSpan w:val="4"/>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lang w:val="en-US" w:eastAsia="zh-CN"/>
              </w:rPr>
              <w:t>1</w:t>
            </w:r>
            <w:r>
              <w:rPr>
                <w:rFonts w:ascii="仿宋" w:hAnsi="仿宋" w:eastAsia="仿宋"/>
                <w:szCs w:val="21"/>
              </w:rPr>
              <w:t>.</w:t>
            </w:r>
            <w:r>
              <w:rPr>
                <w:rFonts w:hint="eastAsia" w:ascii="仿宋" w:hAnsi="仿宋" w:eastAsia="仿宋"/>
                <w:szCs w:val="21"/>
                <w:lang w:val="en-US" w:eastAsia="zh-CN"/>
              </w:rPr>
              <w:t>2</w:t>
            </w:r>
            <w:r>
              <w:rPr>
                <w:rFonts w:ascii="仿宋" w:hAnsi="仿宋" w:eastAsia="仿宋"/>
                <w:szCs w:val="21"/>
              </w:rPr>
              <w:t>.2</w:t>
            </w:r>
            <w:r>
              <w:rPr>
                <w:rFonts w:hint="eastAsia" w:ascii="仿宋" w:hAnsi="仿宋" w:eastAsia="仿宋"/>
                <w:szCs w:val="21"/>
                <w:lang w:val="en-US" w:eastAsia="zh-CN"/>
              </w:rPr>
              <w:t>3</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hint="eastAsia" w:ascii="仿宋" w:hAnsi="仿宋" w:eastAsia="仿宋"/>
                <w:szCs w:val="21"/>
              </w:rPr>
            </w:pPr>
            <w:r>
              <w:rPr>
                <w:rFonts w:hint="eastAsia" w:ascii="仿宋" w:hAnsi="仿宋" w:eastAsia="仿宋"/>
                <w:szCs w:val="21"/>
              </w:rPr>
              <w:t>1）矿区部分安全标志不全；</w:t>
            </w:r>
          </w:p>
          <w:p>
            <w:pPr>
              <w:spacing w:line="300" w:lineRule="exact"/>
              <w:jc w:val="left"/>
              <w:rPr>
                <w:rFonts w:hint="eastAsia" w:ascii="仿宋" w:hAnsi="仿宋" w:eastAsia="仿宋"/>
                <w:szCs w:val="21"/>
              </w:rPr>
            </w:pPr>
            <w:r>
              <w:rPr>
                <w:rFonts w:hint="eastAsia" w:ascii="仿宋" w:hAnsi="仿宋" w:eastAsia="仿宋"/>
                <w:szCs w:val="21"/>
              </w:rPr>
              <w:t>2）矿山未设置避炮设施；</w:t>
            </w:r>
          </w:p>
          <w:p>
            <w:pPr>
              <w:spacing w:line="300" w:lineRule="exact"/>
              <w:jc w:val="left"/>
              <w:rPr>
                <w:rFonts w:hint="eastAsia" w:ascii="仿宋" w:hAnsi="仿宋" w:eastAsia="仿宋"/>
                <w:szCs w:val="21"/>
              </w:rPr>
            </w:pPr>
            <w:r>
              <w:rPr>
                <w:rFonts w:hint="eastAsia" w:ascii="仿宋" w:hAnsi="仿宋" w:eastAsia="仿宋"/>
                <w:szCs w:val="21"/>
              </w:rPr>
              <w:t>3）采矿区未设置实时监控系统；</w:t>
            </w:r>
          </w:p>
          <w:p>
            <w:pPr>
              <w:spacing w:line="300" w:lineRule="exact"/>
              <w:jc w:val="left"/>
              <w:rPr>
                <w:rFonts w:hint="eastAsia" w:ascii="仿宋" w:hAnsi="仿宋" w:eastAsia="仿宋"/>
                <w:szCs w:val="21"/>
              </w:rPr>
            </w:pPr>
            <w:r>
              <w:rPr>
                <w:rFonts w:hint="eastAsia" w:ascii="仿宋" w:hAnsi="仿宋" w:eastAsia="仿宋"/>
                <w:szCs w:val="21"/>
              </w:rPr>
              <w:t>4）部分人员劳动防护用品佩戴不规范；</w:t>
            </w:r>
          </w:p>
          <w:p>
            <w:pPr>
              <w:spacing w:line="300" w:lineRule="exact"/>
              <w:jc w:val="left"/>
              <w:rPr>
                <w:rFonts w:hint="eastAsia" w:ascii="仿宋" w:hAnsi="仿宋" w:eastAsia="仿宋"/>
                <w:szCs w:val="21"/>
              </w:rPr>
            </w:pPr>
            <w:r>
              <w:rPr>
                <w:rFonts w:hint="eastAsia" w:ascii="仿宋" w:hAnsi="仿宋" w:eastAsia="仿宋"/>
                <w:szCs w:val="21"/>
              </w:rPr>
              <w:t>5）进行了安全教育培训，部分记录不全；</w:t>
            </w:r>
          </w:p>
          <w:p>
            <w:pPr>
              <w:spacing w:line="300" w:lineRule="exact"/>
              <w:jc w:val="left"/>
              <w:rPr>
                <w:rFonts w:ascii="仿宋" w:hAnsi="仿宋" w:eastAsia="仿宋"/>
                <w:szCs w:val="21"/>
              </w:rPr>
            </w:pPr>
            <w:r>
              <w:rPr>
                <w:rFonts w:hint="eastAsia" w:ascii="仿宋" w:hAnsi="仿宋" w:eastAsia="仿宋"/>
                <w:szCs w:val="21"/>
              </w:rPr>
              <w:t>6）安全生产管理制度，岗位安全操作规程，未进行更新。</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C1C57"/>
    <w:rsid w:val="654C1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2021-06-01T02:25:00Z</dcterms:created>
  <dc:creator>Neuropathy.</dc:creator>
  <cp:lastModifiedBy>Neuropathy.</cp:lastModifiedBy>
  <dcterms:modified xsi:type="dcterms:W3CDTF">2021-06-01T02:25:34Z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