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jc w:val="center"/>
              <w:rPr>
                <w:rFonts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jc w:val="center"/>
              <w:rPr>
                <w:rFonts w:ascii="仿宋" w:hAnsi="仿宋" w:eastAsia="仿宋"/>
                <w:szCs w:val="21"/>
              </w:rPr>
            </w:pPr>
            <w:r>
              <w:rPr>
                <w:rFonts w:hint="eastAsia" w:ascii="仿宋" w:hAnsi="仿宋" w:eastAsia="仿宋"/>
                <w:bCs/>
                <w:szCs w:val="21"/>
              </w:rPr>
              <w:t>重庆创源石油天然气工程勘察设计有限公司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jc w:val="center"/>
              <w:rPr>
                <w:rFonts w:ascii="仿宋" w:hAnsi="仿宋" w:eastAsia="仿宋"/>
                <w:bCs/>
                <w:szCs w:val="21"/>
              </w:rPr>
            </w:pPr>
            <w:r>
              <w:rPr>
                <w:rFonts w:hint="eastAsia" w:ascii="仿宋" w:hAnsi="仿宋" w:eastAsia="仿宋"/>
                <w:bCs/>
                <w:szCs w:val="21"/>
              </w:rPr>
              <w:t>恩广高速重庆新田至高峰段天高线、峰汝线等7条管线迁改工程安全预评价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sym w:font="CommercialPi BT" w:char="F029"/>
            </w: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集输管道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jc w:val="center"/>
              <w:rPr>
                <w:rFonts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jc w:val="center"/>
              <w:rPr>
                <w:rFonts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jc w:val="center"/>
              <w:rPr>
                <w:rFonts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jc w:val="center"/>
              <w:rPr>
                <w:rFonts w:ascii="仿宋" w:hAnsi="仿宋" w:eastAsia="仿宋"/>
                <w:b/>
                <w:szCs w:val="21"/>
              </w:rPr>
            </w:pPr>
          </w:p>
        </w:tc>
        <w:tc>
          <w:tcPr>
            <w:tcW w:w="2987" w:type="dxa"/>
            <w:gridSpan w:val="4"/>
            <w:noWrap w:val="0"/>
            <w:vAlign w:val="center"/>
          </w:tcPr>
          <w:p>
            <w:pPr>
              <w:jc w:val="center"/>
              <w:rPr>
                <w:rFonts w:ascii="仿宋" w:hAnsi="仿宋" w:eastAsia="仿宋"/>
                <w:szCs w:val="21"/>
              </w:rPr>
            </w:pPr>
            <w:r>
              <w:rPr>
                <w:rFonts w:hint="eastAsia" w:ascii="仿宋" w:hAnsi="仿宋" w:eastAsia="仿宋"/>
                <w:szCs w:val="21"/>
              </w:rPr>
              <w:t>包鹏</w:t>
            </w:r>
          </w:p>
        </w:tc>
        <w:tc>
          <w:tcPr>
            <w:tcW w:w="2710" w:type="dxa"/>
            <w:gridSpan w:val="6"/>
            <w:noWrap w:val="0"/>
            <w:vAlign w:val="center"/>
          </w:tcPr>
          <w:p>
            <w:pPr>
              <w:jc w:val="center"/>
              <w:rPr>
                <w:rFonts w:ascii="仿宋" w:hAnsi="仿宋" w:eastAsia="仿宋"/>
                <w:szCs w:val="21"/>
              </w:rPr>
            </w:pPr>
            <w:r>
              <w:rPr>
                <w:rFonts w:hint="eastAsia" w:ascii="仿宋" w:hAnsi="仿宋" w:eastAsia="仿宋"/>
                <w:szCs w:val="21"/>
              </w:rPr>
              <w:t>陈美宝</w:t>
            </w:r>
          </w:p>
        </w:tc>
        <w:tc>
          <w:tcPr>
            <w:tcW w:w="2875" w:type="dxa"/>
            <w:gridSpan w:val="3"/>
            <w:noWrap w:val="0"/>
            <w:vAlign w:val="center"/>
          </w:tcPr>
          <w:p>
            <w:pPr>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jc w:val="center"/>
              <w:rPr>
                <w:rFonts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jc w:val="center"/>
              <w:rPr>
                <w:rFonts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jc w:val="center"/>
              <w:rPr>
                <w:rFonts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jc w:val="center"/>
              <w:rPr>
                <w:rFonts w:ascii="仿宋" w:hAnsi="仿宋" w:eastAsia="仿宋"/>
                <w:b/>
                <w:szCs w:val="21"/>
              </w:rPr>
            </w:pPr>
          </w:p>
        </w:tc>
        <w:tc>
          <w:tcPr>
            <w:tcW w:w="2174" w:type="dxa"/>
            <w:gridSpan w:val="3"/>
            <w:noWrap w:val="0"/>
            <w:vAlign w:val="center"/>
          </w:tcPr>
          <w:p>
            <w:pPr>
              <w:jc w:val="center"/>
              <w:rPr>
                <w:rFonts w:ascii="仿宋" w:hAnsi="仿宋" w:eastAsia="仿宋"/>
                <w:szCs w:val="21"/>
              </w:rPr>
            </w:pPr>
            <w:r>
              <w:rPr>
                <w:rFonts w:hint="eastAsia" w:ascii="仿宋" w:hAnsi="仿宋" w:eastAsia="仿宋"/>
                <w:szCs w:val="21"/>
              </w:rPr>
              <w:t>闫云光</w:t>
            </w:r>
          </w:p>
        </w:tc>
        <w:tc>
          <w:tcPr>
            <w:tcW w:w="2073" w:type="dxa"/>
            <w:gridSpan w:val="4"/>
            <w:noWrap w:val="0"/>
            <w:vAlign w:val="center"/>
          </w:tcPr>
          <w:p>
            <w:pPr>
              <w:jc w:val="center"/>
              <w:rPr>
                <w:rFonts w:ascii="仿宋" w:hAnsi="仿宋" w:eastAsia="仿宋"/>
                <w:szCs w:val="21"/>
              </w:rPr>
            </w:pPr>
            <w:r>
              <w:rPr>
                <w:rFonts w:hint="eastAsia" w:ascii="仿宋" w:hAnsi="仿宋" w:eastAsia="仿宋"/>
                <w:szCs w:val="21"/>
              </w:rPr>
              <w:t>2021.4</w:t>
            </w:r>
          </w:p>
        </w:tc>
        <w:tc>
          <w:tcPr>
            <w:tcW w:w="2169" w:type="dxa"/>
            <w:gridSpan w:val="4"/>
            <w:noWrap w:val="0"/>
            <w:vAlign w:val="center"/>
          </w:tcPr>
          <w:p>
            <w:pPr>
              <w:jc w:val="center"/>
              <w:rPr>
                <w:rFonts w:ascii="仿宋" w:hAnsi="仿宋" w:eastAsia="仿宋"/>
                <w:szCs w:val="21"/>
              </w:rPr>
            </w:pPr>
            <w:r>
              <w:rPr>
                <w:rFonts w:hint="eastAsia" w:ascii="仿宋" w:hAnsi="仿宋" w:eastAsia="仿宋"/>
                <w:szCs w:val="21"/>
              </w:rPr>
              <w:t>蔡治勇</w:t>
            </w:r>
          </w:p>
        </w:tc>
        <w:tc>
          <w:tcPr>
            <w:tcW w:w="2156" w:type="dxa"/>
            <w:gridSpan w:val="2"/>
            <w:noWrap w:val="0"/>
            <w:vAlign w:val="center"/>
          </w:tcPr>
          <w:p>
            <w:pPr>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szCs w:val="21"/>
              </w:rPr>
            </w:pPr>
            <w:r>
              <w:rPr>
                <w:rFonts w:hint="eastAsia" w:ascii="仿宋" w:hAnsi="仿宋" w:eastAsia="仿宋"/>
                <w:szCs w:val="21"/>
              </w:rPr>
              <w:t>包  鹏</w:t>
            </w:r>
          </w:p>
        </w:tc>
        <w:tc>
          <w:tcPr>
            <w:tcW w:w="1586" w:type="dxa"/>
            <w:gridSpan w:val="2"/>
            <w:noWrap w:val="0"/>
            <w:vAlign w:val="center"/>
          </w:tcPr>
          <w:p>
            <w:pPr>
              <w:jc w:val="center"/>
              <w:rPr>
                <w:rFonts w:ascii="仿宋" w:hAnsi="仿宋" w:eastAsia="仿宋"/>
                <w:szCs w:val="21"/>
              </w:rPr>
            </w:pPr>
            <w:r>
              <w:rPr>
                <w:rFonts w:hint="eastAsia" w:ascii="仿宋" w:hAnsi="仿宋" w:eastAsia="仿宋"/>
                <w:szCs w:val="21"/>
              </w:rPr>
              <w:t>电  气</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S011021000110191000318</w:t>
            </w:r>
          </w:p>
        </w:tc>
        <w:tc>
          <w:tcPr>
            <w:tcW w:w="2662"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0126896</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szCs w:val="21"/>
              </w:rPr>
            </w:pPr>
            <w:r>
              <w:rPr>
                <w:rFonts w:hint="eastAsia" w:ascii="仿宋" w:hAnsi="仿宋" w:eastAsia="仿宋"/>
                <w:szCs w:val="21"/>
              </w:rPr>
              <w:t>闫云光</w:t>
            </w:r>
          </w:p>
        </w:tc>
        <w:tc>
          <w:tcPr>
            <w:tcW w:w="1586" w:type="dxa"/>
            <w:gridSpan w:val="2"/>
            <w:noWrap w:val="0"/>
            <w:vAlign w:val="center"/>
          </w:tcPr>
          <w:p>
            <w:pPr>
              <w:jc w:val="center"/>
              <w:rPr>
                <w:rFonts w:ascii="仿宋" w:hAnsi="仿宋" w:eastAsia="仿宋"/>
                <w:szCs w:val="21"/>
              </w:rPr>
            </w:pPr>
            <w:r>
              <w:rPr>
                <w:rFonts w:hint="eastAsia" w:ascii="仿宋" w:hAnsi="仿宋" w:eastAsia="仿宋"/>
                <w:szCs w:val="21"/>
              </w:rPr>
              <w:t>采  矿</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S011053000110192002943</w:t>
            </w:r>
          </w:p>
        </w:tc>
        <w:tc>
          <w:tcPr>
            <w:tcW w:w="2662" w:type="dxa"/>
            <w:gridSpan w:val="5"/>
            <w:noWrap w:val="0"/>
            <w:vAlign w:val="center"/>
          </w:tcPr>
          <w:p>
            <w:pPr>
              <w:widowControl/>
              <w:adjustRightInd w:val="0"/>
              <w:snapToGrid w:val="0"/>
              <w:jc w:val="center"/>
              <w:rPr>
                <w:rFonts w:ascii="仿宋" w:hAnsi="仿宋" w:eastAsia="仿宋" w:cs="宋体"/>
                <w:kern w:val="0"/>
                <w:szCs w:val="21"/>
              </w:rPr>
            </w:pPr>
          </w:p>
        </w:tc>
        <w:tc>
          <w:tcPr>
            <w:tcW w:w="1663" w:type="dxa"/>
            <w:noWrap w:val="0"/>
            <w:vAlign w:val="center"/>
          </w:tcPr>
          <w:p>
            <w:pPr>
              <w:jc w:val="cente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szCs w:val="21"/>
              </w:rPr>
            </w:pPr>
            <w:r>
              <w:rPr>
                <w:rFonts w:hint="eastAsia" w:ascii="仿宋" w:hAnsi="仿宋" w:eastAsia="仿宋"/>
                <w:szCs w:val="21"/>
              </w:rPr>
              <w:t>易安柯</w:t>
            </w:r>
          </w:p>
        </w:tc>
        <w:tc>
          <w:tcPr>
            <w:tcW w:w="1586" w:type="dxa"/>
            <w:gridSpan w:val="2"/>
            <w:noWrap w:val="0"/>
            <w:vAlign w:val="center"/>
          </w:tcPr>
          <w:p>
            <w:pPr>
              <w:jc w:val="center"/>
              <w:rPr>
                <w:rFonts w:ascii="仿宋" w:hAnsi="仿宋" w:eastAsia="仿宋"/>
                <w:szCs w:val="21"/>
              </w:rPr>
            </w:pPr>
            <w:r>
              <w:rPr>
                <w:rFonts w:hint="eastAsia" w:ascii="仿宋" w:hAnsi="仿宋" w:eastAsia="仿宋"/>
                <w:szCs w:val="21"/>
              </w:rPr>
              <w:t>油气储运</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S011053000110193002441</w:t>
            </w:r>
          </w:p>
        </w:tc>
        <w:tc>
          <w:tcPr>
            <w:tcW w:w="2662" w:type="dxa"/>
            <w:gridSpan w:val="5"/>
            <w:noWrap w:val="0"/>
            <w:vAlign w:val="center"/>
          </w:tcPr>
          <w:p>
            <w:pPr>
              <w:widowControl/>
              <w:adjustRightInd w:val="0"/>
              <w:snapToGrid w:val="0"/>
              <w:jc w:val="center"/>
              <w:rPr>
                <w:rFonts w:ascii="仿宋" w:hAnsi="仿宋" w:eastAsia="仿宋" w:cs="宋体"/>
                <w:kern w:val="0"/>
                <w:szCs w:val="21"/>
              </w:rPr>
            </w:pPr>
          </w:p>
        </w:tc>
        <w:tc>
          <w:tcPr>
            <w:tcW w:w="1663" w:type="dxa"/>
            <w:noWrap w:val="0"/>
            <w:vAlign w:val="center"/>
          </w:tcPr>
          <w:p>
            <w:pPr>
              <w:jc w:val="cente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szCs w:val="21"/>
              </w:rPr>
            </w:pPr>
            <w:r>
              <w:rPr>
                <w:rFonts w:hint="eastAsia" w:ascii="仿宋" w:hAnsi="仿宋" w:eastAsia="仿宋"/>
                <w:szCs w:val="21"/>
              </w:rPr>
              <w:t>刘文娟</w:t>
            </w:r>
          </w:p>
        </w:tc>
        <w:tc>
          <w:tcPr>
            <w:tcW w:w="1586" w:type="dxa"/>
            <w:gridSpan w:val="2"/>
            <w:noWrap w:val="0"/>
            <w:vAlign w:val="center"/>
          </w:tcPr>
          <w:p>
            <w:pPr>
              <w:jc w:val="center"/>
              <w:rPr>
                <w:rFonts w:ascii="仿宋" w:hAnsi="仿宋" w:eastAsia="仿宋"/>
                <w:szCs w:val="21"/>
              </w:rPr>
            </w:pPr>
            <w:r>
              <w:rPr>
                <w:rFonts w:hint="eastAsia" w:ascii="仿宋" w:hAnsi="仿宋" w:eastAsia="仿宋"/>
                <w:szCs w:val="21"/>
              </w:rPr>
              <w:t>自动化(仪表)</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1700000000201153</w:t>
            </w:r>
          </w:p>
        </w:tc>
        <w:tc>
          <w:tcPr>
            <w:tcW w:w="2662"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AG00218278</w:t>
            </w:r>
          </w:p>
        </w:tc>
        <w:tc>
          <w:tcPr>
            <w:tcW w:w="1663" w:type="dxa"/>
            <w:noWrap w:val="0"/>
            <w:vAlign w:val="center"/>
          </w:tcPr>
          <w:p>
            <w:pPr>
              <w:jc w:val="cente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陈言果</w:t>
            </w:r>
          </w:p>
        </w:tc>
        <w:tc>
          <w:tcPr>
            <w:tcW w:w="1586"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石   油</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S011053000110193002284</w:t>
            </w:r>
          </w:p>
        </w:tc>
        <w:tc>
          <w:tcPr>
            <w:tcW w:w="2662" w:type="dxa"/>
            <w:gridSpan w:val="5"/>
            <w:noWrap w:val="0"/>
            <w:vAlign w:val="center"/>
          </w:tcPr>
          <w:p>
            <w:pPr>
              <w:widowControl/>
              <w:adjustRightInd w:val="0"/>
              <w:snapToGrid w:val="0"/>
              <w:jc w:val="center"/>
              <w:rPr>
                <w:rFonts w:ascii="仿宋" w:hAnsi="仿宋" w:eastAsia="仿宋" w:cs="宋体"/>
                <w:kern w:val="0"/>
                <w:szCs w:val="21"/>
              </w:rPr>
            </w:pP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李  伟</w:t>
            </w:r>
          </w:p>
        </w:tc>
        <w:tc>
          <w:tcPr>
            <w:tcW w:w="1586"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机械、安全</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1800000000201223</w:t>
            </w:r>
          </w:p>
        </w:tc>
        <w:tc>
          <w:tcPr>
            <w:tcW w:w="2662" w:type="dxa"/>
            <w:gridSpan w:val="5"/>
            <w:noWrap w:val="0"/>
            <w:vAlign w:val="center"/>
          </w:tcPr>
          <w:p>
            <w:pPr>
              <w:widowControl/>
              <w:adjustRightInd w:val="0"/>
              <w:snapToGrid w:val="0"/>
              <w:jc w:val="center"/>
              <w:rPr>
                <w:rFonts w:ascii="仿宋" w:hAnsi="仿宋" w:eastAsia="仿宋" w:cs="宋体"/>
                <w:kern w:val="0"/>
                <w:szCs w:val="21"/>
              </w:rPr>
            </w:pP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陈美宝</w:t>
            </w:r>
          </w:p>
        </w:tc>
        <w:tc>
          <w:tcPr>
            <w:tcW w:w="1586"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  械、防腐</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1500000000100116</w:t>
            </w:r>
          </w:p>
        </w:tc>
        <w:tc>
          <w:tcPr>
            <w:tcW w:w="2662"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0100948</w:t>
            </w:r>
          </w:p>
        </w:tc>
        <w:tc>
          <w:tcPr>
            <w:tcW w:w="1663" w:type="dxa"/>
            <w:noWrap w:val="0"/>
            <w:vAlign w:val="center"/>
          </w:tcPr>
          <w:p>
            <w:pPr>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冯  皓</w:t>
            </w:r>
          </w:p>
        </w:tc>
        <w:tc>
          <w:tcPr>
            <w:tcW w:w="1586"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机  械</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1600000000201291</w:t>
            </w:r>
          </w:p>
        </w:tc>
        <w:tc>
          <w:tcPr>
            <w:tcW w:w="2662" w:type="dxa"/>
            <w:gridSpan w:val="5"/>
            <w:noWrap w:val="0"/>
            <w:vAlign w:val="center"/>
          </w:tcPr>
          <w:p>
            <w:pPr>
              <w:widowControl/>
              <w:adjustRightInd w:val="0"/>
              <w:snapToGrid w:val="0"/>
              <w:jc w:val="center"/>
              <w:rPr>
                <w:rFonts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蔡治勇</w:t>
            </w:r>
          </w:p>
        </w:tc>
        <w:tc>
          <w:tcPr>
            <w:tcW w:w="1586"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安  全</w:t>
            </w:r>
          </w:p>
        </w:tc>
        <w:tc>
          <w:tcPr>
            <w:tcW w:w="2661"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0800000000102949</w:t>
            </w:r>
          </w:p>
        </w:tc>
        <w:tc>
          <w:tcPr>
            <w:tcW w:w="2662" w:type="dxa"/>
            <w:gridSpan w:val="5"/>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0074134</w:t>
            </w:r>
          </w:p>
        </w:tc>
        <w:tc>
          <w:tcPr>
            <w:tcW w:w="1663" w:type="dxa"/>
            <w:noWrap w:val="0"/>
            <w:vAlign w:val="center"/>
          </w:tcPr>
          <w:p>
            <w:pPr>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ind w:firstLine="390"/>
              <w:rPr>
                <w:rFonts w:hint="eastAsia" w:ascii="仿宋" w:hAnsi="仿宋" w:eastAsia="仿宋"/>
                <w:szCs w:val="21"/>
              </w:rPr>
            </w:pPr>
            <w:r>
              <w:rPr>
                <w:rFonts w:hint="eastAsia" w:ascii="仿宋" w:hAnsi="仿宋" w:eastAsia="仿宋"/>
                <w:szCs w:val="21"/>
              </w:rPr>
              <w:t>恩施至广元国家高速公路重庆新田至高峰段是国家高速G5012 恩广高速中的一段，目前重庆气矿所属天高线B段、峰汝线A2段等5条管线与拟建道路交叉，峰11井-峰8井管线、峰17井-峰11井管线位于拟建隧道爆破口上方，为保护管线的安全运行，保障道路施工建设需要，需对区域内已建天然气管道进行迁改和保护。</w:t>
            </w:r>
          </w:p>
          <w:p>
            <w:pPr>
              <w:adjustRightInd w:val="0"/>
              <w:snapToGrid w:val="0"/>
              <w:ind w:firstLine="420" w:firstLineChars="200"/>
              <w:rPr>
                <w:rFonts w:hint="eastAsia" w:ascii="仿宋" w:hAnsi="仿宋" w:eastAsia="仿宋"/>
                <w:szCs w:val="21"/>
              </w:rPr>
            </w:pPr>
            <w:r>
              <w:rPr>
                <w:rFonts w:hint="eastAsia" w:ascii="仿宋" w:hAnsi="仿宋" w:eastAsia="仿宋"/>
                <w:szCs w:val="21"/>
              </w:rPr>
              <w:t>为贯彻“安全第一、预防为主、综合治理”方针，为建设项目提供科学依据，利于建设项目本质安全，依据《中华人民共和国安全生产法》、《建设项目安全设 施“三同时”监督管理办法》等有关规定，重庆市安全生产科学研究有限公司受重庆创源石油天然气工程勘察设计有限公司的委托，对恩广高速重庆新田至高峰段天高线、峰汝线等7条管线迁改工程进行安全预评价。</w:t>
            </w:r>
          </w:p>
          <w:p>
            <w:pPr>
              <w:pStyle w:val="2"/>
              <w:ind w:firstLine="28" w:firstLineChars="10"/>
              <w:jc w:val="center"/>
            </w:pPr>
            <w:r>
              <w:drawing>
                <wp:inline distT="0" distB="0" distL="114300" distR="114300">
                  <wp:extent cx="4285615" cy="4298315"/>
                  <wp:effectExtent l="0" t="0" r="635"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285615" cy="429831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jc w:val="center"/>
              <w:rPr>
                <w:rFonts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szCs w:val="21"/>
              </w:rPr>
            </w:pPr>
          </w:p>
        </w:tc>
        <w:tc>
          <w:tcPr>
            <w:tcW w:w="1586"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包鹏、闫云光</w:t>
            </w:r>
          </w:p>
        </w:tc>
        <w:tc>
          <w:tcPr>
            <w:tcW w:w="2622"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20200902</w:t>
            </w:r>
          </w:p>
        </w:tc>
        <w:tc>
          <w:tcPr>
            <w:tcW w:w="1226"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现场勘察</w:t>
            </w:r>
          </w:p>
        </w:tc>
        <w:tc>
          <w:tcPr>
            <w:tcW w:w="3138" w:type="dxa"/>
            <w:gridSpan w:val="5"/>
            <w:noWrap w:val="0"/>
            <w:vAlign w:val="center"/>
          </w:tcPr>
          <w:p>
            <w:pPr>
              <w:spacing w:line="300" w:lineRule="exact"/>
              <w:jc w:val="center"/>
              <w:rPr>
                <w:rFonts w:ascii="仿宋" w:hAnsi="仿宋" w:eastAsia="仿宋"/>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ommercialPi BT">
    <w:altName w:val="Wingdings 2"/>
    <w:panose1 w:val="05020102010206080802"/>
    <w:charset w:val="02"/>
    <w:family w:val="roman"/>
    <w:pitch w:val="default"/>
    <w:sig w:usb0="00000000" w:usb1="00000000" w:usb2="00000000" w:usb3="00000000" w:csb0="80000000" w:csb1="00000000"/>
  </w:font>
  <w:font w:name="Wingdings 2">
    <w:panose1 w:val="05020102010507070707"/>
    <w:charset w:val="00"/>
    <w:family w:val="auto"/>
    <w:pitch w:val="default"/>
    <w:sig w:usb0="00000000" w:usb1="00000000" w:usb2="00000000" w:usb3="00000000" w:csb0="80000000"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090B0B"/>
    <w:rsid w:val="12090B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2021-06-01T02:50:00Z</dcterms:created>
  <dc:creator>Neuropathy.</dc:creator>
  <cp:lastModifiedBy>Neuropathy.</cp:lastModifiedBy>
  <dcterms:modified xsi:type="dcterms:W3CDTF">2021-06-01T02:51:12Z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