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29322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站场防雷设施安全隐患治理安全现状评价报告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□验收评价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路上石油天然气开采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、李伟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016794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宋体"/>
                <w:bCs/>
                <w:sz w:val="21"/>
                <w:szCs w:val="21"/>
              </w:rPr>
              <w:t>西南油气田分公司重庆气矿大部分避雷针安装于1990年至2000年之间，采用混凝土杆型、铁塔型和金属立杆型，由于常年日晒风吹雨淋，加之重庆地区气候非常潮湿，造成室外杆型避雷针杆连接件、接地引下线等金属构件均已锈蚀严重。针对上述问题，为保证生产安全运行，有必要对存在安全隐患的避雷针进行整改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/>
                <w:bCs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  <w:r>
              <w:drawing>
                <wp:inline distT="0" distB="0" distL="0" distR="0">
                  <wp:extent cx="1999615" cy="2475865"/>
                  <wp:effectExtent l="0" t="0" r="635" b="63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9615" cy="2475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2020.10.10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2020.10.10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详见报告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B255F"/>
    <w:rsid w:val="274B2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2021-06-23T01:34:00Z</dcterms:created>
  <dc:creator>雷楠</dc:creator>
  <cp:lastModifiedBy>雷楠</cp:lastModifiedBy>
  <dcterms:modified xsi:type="dcterms:W3CDTF">2021-06-23T01:34:44Z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