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中国石油甘肃陇南销售分公司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中国石油甘肃陇南销售分公司康县豆坝加油站建设项目安全设施竣工验收评价报告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ascii="Segoe UI Symbol" w:hAnsi="Segoe UI Symbol" w:eastAsia="仿宋" w:cs="Segoe UI Symbol"/>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石油加工业，化学原料、化学品及医药制造业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白建明、</w:t>
            </w:r>
            <w:r>
              <w:rPr>
                <w:rFonts w:hint="eastAsia" w:ascii="仿宋" w:hAnsi="仿宋" w:eastAsia="仿宋"/>
                <w:szCs w:val="21"/>
                <w:highlight w:val="none"/>
                <w:lang w:eastAsia="zh-CN"/>
              </w:rPr>
              <w:t>赵长军</w:t>
            </w:r>
          </w:p>
        </w:tc>
        <w:tc>
          <w:tcPr>
            <w:tcW w:w="2073"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w:t>
            </w:r>
            <w:r>
              <w:rPr>
                <w:rFonts w:ascii="仿宋" w:hAnsi="仿宋" w:eastAsia="仿宋"/>
                <w:szCs w:val="21"/>
              </w:rPr>
              <w:t>02</w:t>
            </w:r>
            <w:r>
              <w:rPr>
                <w:rFonts w:hint="eastAsia" w:ascii="仿宋" w:hAnsi="仿宋" w:eastAsia="仿宋"/>
                <w:szCs w:val="21"/>
              </w:rPr>
              <w:t>2</w:t>
            </w:r>
            <w:r>
              <w:rPr>
                <w:rFonts w:ascii="仿宋" w:hAnsi="仿宋" w:eastAsia="仿宋"/>
                <w:szCs w:val="21"/>
              </w:rPr>
              <w:t>.</w:t>
            </w:r>
            <w:r>
              <w:rPr>
                <w:rFonts w:hint="eastAsia" w:ascii="仿宋" w:hAnsi="仿宋" w:eastAsia="仿宋"/>
                <w:szCs w:val="21"/>
                <w:lang w:val="en-US" w:eastAsia="zh-CN"/>
              </w:rPr>
              <w:t>5</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1700000000201198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  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S011053000110192003004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  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机械、安全</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kern w:val="0"/>
                <w:szCs w:val="21"/>
                <w:lang w:bidi="ar"/>
              </w:rPr>
              <w:t>1800000000201223</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jc w:val="center"/>
              <w:textAlignment w:val="center"/>
              <w:rPr>
                <w:rFonts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S011053000110193002272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安全、化工工艺</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S011053000110202001767</w:t>
            </w:r>
          </w:p>
        </w:tc>
        <w:tc>
          <w:tcPr>
            <w:tcW w:w="2662" w:type="dxa"/>
            <w:gridSpan w:val="5"/>
            <w:vAlign w:val="center"/>
          </w:tcPr>
          <w:p>
            <w:pPr>
              <w:jc w:val="center"/>
              <w:rPr>
                <w:rFonts w:ascii="仿宋" w:hAnsi="仿宋" w:eastAsia="仿宋" w:cs="宋体"/>
                <w:kern w:val="0"/>
                <w:szCs w:val="21"/>
              </w:rPr>
            </w:pPr>
            <w:r>
              <w:rPr>
                <w:rFonts w:ascii="仿宋" w:hAnsi="仿宋" w:eastAsia="仿宋" w:cs="宋体"/>
                <w:kern w:val="0"/>
                <w:szCs w:val="21"/>
              </w:rPr>
              <w:t>55180193956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1700000000201153</w:t>
            </w:r>
          </w:p>
        </w:tc>
        <w:tc>
          <w:tcPr>
            <w:tcW w:w="2662"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szCs w:val="21"/>
                <w:lang w:bidi="ar"/>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化工工艺、安全</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0800000000304234</w:t>
            </w:r>
          </w:p>
        </w:tc>
        <w:tc>
          <w:tcPr>
            <w:tcW w:w="2662"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55070030074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jc w:val="center"/>
              <w:textAlignment w:val="center"/>
              <w:rPr>
                <w:rFonts w:ascii="仿宋_GB2312" w:hAnsi="仿宋_GB2312" w:eastAsia="仿宋_GB2312" w:cs="仿宋_GB2312"/>
                <w:color w:val="000000"/>
                <w:kern w:val="0"/>
                <w:szCs w:val="21"/>
                <w:lang w:bidi="ar"/>
              </w:rPr>
            </w:pPr>
            <w:r>
              <w:rPr>
                <w:rFonts w:hint="eastAsia" w:ascii="仿宋_GB2312" w:hAnsi="仿宋_GB2312" w:eastAsia="仿宋_GB2312" w:cs="仿宋_GB2312"/>
                <w:color w:val="000000"/>
                <w:kern w:val="0"/>
                <w:szCs w:val="21"/>
                <w:lang w:bidi="ar"/>
              </w:rPr>
              <w:t>S011041000110192002238</w:t>
            </w:r>
          </w:p>
        </w:tc>
        <w:tc>
          <w:tcPr>
            <w:tcW w:w="2662" w:type="dxa"/>
            <w:gridSpan w:val="5"/>
            <w:vAlign w:val="center"/>
          </w:tcPr>
          <w:p>
            <w:pPr>
              <w:jc w:val="center"/>
              <w:rPr>
                <w:rFonts w:ascii="仿宋" w:hAnsi="仿宋" w:eastAsia="仿宋" w:cs="宋体"/>
                <w:kern w:val="0"/>
                <w:szCs w:val="21"/>
              </w:rPr>
            </w:pPr>
            <w:bookmarkStart w:id="0" w:name="_GoBack"/>
            <w:bookmarkEnd w:id="0"/>
            <w:r>
              <w:rPr>
                <w:rFonts w:hint="eastAsia" w:ascii="仿宋_GB2312" w:hAnsi="仿宋_GB2312" w:eastAsia="仿宋_GB2312" w:cs="仿宋_GB2312"/>
                <w:color w:val="000000"/>
                <w:kern w:val="0"/>
                <w:szCs w:val="21"/>
                <w:lang w:bidi="ar"/>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jc w:val="center"/>
              <w:rPr>
                <w:rFonts w:ascii="仿宋" w:hAnsi="仿宋" w:eastAsia="仿宋" w:cs="宋体"/>
                <w:kern w:val="0"/>
                <w:szCs w:val="21"/>
              </w:rPr>
            </w:pPr>
            <w:r>
              <w:rPr>
                <w:rFonts w:hint="eastAsia" w:ascii="仿宋_GB2312" w:hAnsi="仿宋_GB2312" w:eastAsia="仿宋_GB2312" w:cs="仿宋_GB2312"/>
                <w:color w:val="000000"/>
                <w:kern w:val="0"/>
                <w:szCs w:val="21"/>
                <w:lang w:bidi="ar"/>
              </w:rPr>
              <w:t>1100000000301652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赵长军</w:t>
            </w:r>
          </w:p>
        </w:tc>
        <w:tc>
          <w:tcPr>
            <w:tcW w:w="1586" w:type="dxa"/>
            <w:gridSpan w:val="2"/>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化工</w:t>
            </w:r>
            <w:r>
              <w:rPr>
                <w:rFonts w:ascii="仿宋" w:hAnsi="仿宋" w:eastAsia="仿宋" w:cs="宋体"/>
                <w:kern w:val="0"/>
                <w:szCs w:val="21"/>
              </w:rPr>
              <w:t>工艺</w:t>
            </w:r>
          </w:p>
        </w:tc>
        <w:tc>
          <w:tcPr>
            <w:tcW w:w="2661"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ascii="仿宋" w:hAnsi="仿宋" w:eastAsia="仿宋" w:cs="宋体"/>
                <w:kern w:val="0"/>
                <w:szCs w:val="21"/>
              </w:rPr>
              <w:t>S011032000110202000930</w:t>
            </w:r>
          </w:p>
        </w:tc>
        <w:tc>
          <w:tcPr>
            <w:tcW w:w="2662" w:type="dxa"/>
            <w:gridSpan w:val="5"/>
            <w:vAlign w:val="center"/>
          </w:tcPr>
          <w:p>
            <w:pPr>
              <w:widowControl/>
              <w:adjustRightInd w:val="0"/>
              <w:snapToGrid w:val="0"/>
              <w:jc w:val="center"/>
              <w:rPr>
                <w:rFonts w:ascii="仿宋" w:hAnsi="仿宋" w:eastAsia="仿宋" w:cs="宋体"/>
                <w:kern w:val="0"/>
                <w:sz w:val="21"/>
                <w:szCs w:val="21"/>
                <w:lang w:val="en-US" w:eastAsia="zh-CN" w:bidi="ar-SA"/>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cs="Times New Roman"/>
                <w:kern w:val="2"/>
                <w:sz w:val="21"/>
                <w:szCs w:val="21"/>
                <w:lang w:val="en-US" w:eastAsia="zh-CN" w:bidi="ar-SA"/>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刘国勇</w:t>
            </w:r>
          </w:p>
        </w:tc>
        <w:tc>
          <w:tcPr>
            <w:tcW w:w="1586" w:type="dxa"/>
            <w:gridSpan w:val="2"/>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1800000000100099</w:t>
            </w:r>
          </w:p>
        </w:tc>
        <w:tc>
          <w:tcPr>
            <w:tcW w:w="2662" w:type="dxa"/>
            <w:gridSpan w:val="5"/>
            <w:vAlign w:val="center"/>
          </w:tcPr>
          <w:p>
            <w:pPr>
              <w:widowControl/>
              <w:adjustRightInd w:val="0"/>
              <w:snapToGrid w:val="0"/>
              <w:jc w:val="center"/>
              <w:rPr>
                <w:rFonts w:hint="eastAsia" w:ascii="仿宋" w:hAnsi="仿宋" w:eastAsia="仿宋" w:cs="宋体"/>
                <w:kern w:val="0"/>
                <w:szCs w:val="21"/>
              </w:rPr>
            </w:pPr>
            <w:r>
              <w:rPr>
                <w:rFonts w:ascii="仿宋" w:hAnsi="仿宋" w:eastAsia="仿宋" w:cs="宋体"/>
                <w:kern w:val="0"/>
                <w:szCs w:val="21"/>
              </w:rPr>
              <w:t>55060013805</w:t>
            </w:r>
          </w:p>
        </w:tc>
        <w:tc>
          <w:tcPr>
            <w:tcW w:w="1663" w:type="dxa"/>
            <w:vAlign w:val="center"/>
          </w:tcPr>
          <w:p>
            <w:pPr>
              <w:adjustRightInd w:val="0"/>
              <w:snapToGrid w:val="0"/>
              <w:jc w:val="center"/>
              <w:rPr>
                <w:rFonts w:hint="eastAsia"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w:t>
            </w:r>
            <w:r>
              <w:rPr>
                <w:rFonts w:ascii="仿宋" w:hAnsi="仿宋" w:eastAsia="仿宋" w:cs="宋体"/>
                <w:kern w:val="0"/>
                <w:szCs w:val="21"/>
              </w:rPr>
              <w:t>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S011053000110201000802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中国石油甘肃陇南销售分公司隶属于中国石油甘肃销售分公司，办公地址位于陇南市武都区北山东路。公司机关设营运销售部、财务资产部、零售管理部、储运安全部、人力资源部、综合管理部、企业文化部七个部门。主要从事成品油的批发、零售业务，经营的油品主要有汽油、煤油、柴油、润滑油。</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1）储油设施：储油罐（SF双层罐）2座，分别为：30m</w:t>
            </w:r>
            <w:r>
              <w:rPr>
                <w:rFonts w:hint="eastAsia" w:ascii="宋体" w:hAnsi="宋体" w:cs="宋体"/>
                <w:bCs/>
                <w:szCs w:val="21"/>
              </w:rPr>
              <w:t>³</w:t>
            </w:r>
            <w:r>
              <w:rPr>
                <w:rFonts w:hint="eastAsia" w:ascii="仿宋" w:hAnsi="仿宋" w:eastAsia="仿宋" w:cs="仿宋"/>
                <w:bCs/>
                <w:szCs w:val="21"/>
              </w:rPr>
              <w:t>的</w:t>
            </w:r>
            <w:r>
              <w:rPr>
                <w:rFonts w:hint="eastAsia" w:ascii="仿宋" w:hAnsi="仿宋" w:eastAsia="仿宋" w:cs="宋体"/>
                <w:bCs/>
                <w:szCs w:val="21"/>
              </w:rPr>
              <w:t>92#汽油罐1座和30m</w:t>
            </w:r>
            <w:r>
              <w:rPr>
                <w:rFonts w:hint="eastAsia" w:ascii="宋体" w:hAnsi="宋体" w:cs="宋体"/>
                <w:bCs/>
                <w:szCs w:val="21"/>
              </w:rPr>
              <w:t>³</w:t>
            </w:r>
            <w:r>
              <w:rPr>
                <w:rFonts w:hint="eastAsia" w:ascii="仿宋" w:hAnsi="仿宋" w:eastAsia="仿宋" w:cs="仿宋"/>
                <w:bCs/>
                <w:szCs w:val="21"/>
              </w:rPr>
              <w:t>的</w:t>
            </w:r>
            <w:r>
              <w:rPr>
                <w:rFonts w:hint="eastAsia" w:ascii="仿宋" w:hAnsi="仿宋" w:eastAsia="仿宋" w:cs="宋体"/>
                <w:bCs/>
                <w:szCs w:val="21"/>
              </w:rPr>
              <w:t>0#柴油罐1座，储罐位于行车道下，该站储油罐为承重卧式双层罐。</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2）加油设施：设1台四枪双油品潜油泵式加油机，出油管线采用双层热塑性复合管。</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3）基础设施：站房一栋，为单层框架结构，建筑面积为148.5m</w:t>
            </w:r>
            <w:r>
              <w:rPr>
                <w:rFonts w:hint="eastAsia" w:ascii="仿宋" w:hAnsi="仿宋" w:eastAsia="仿宋" w:cs="宋体"/>
                <w:bCs/>
                <w:szCs w:val="21"/>
                <w:vertAlign w:val="superscript"/>
              </w:rPr>
              <w:t>2</w:t>
            </w:r>
            <w:r>
              <w:rPr>
                <w:rFonts w:hint="eastAsia" w:ascii="仿宋" w:hAnsi="仿宋" w:eastAsia="仿宋" w:cs="宋体"/>
                <w:bCs/>
                <w:szCs w:val="21"/>
              </w:rPr>
              <w:t>，加油罩棚投影面积为56m2，钢架结构，罩棚柱顶标高5.1m。</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4）储存规模：45m</w:t>
            </w:r>
            <w:r>
              <w:rPr>
                <w:rFonts w:hint="eastAsia" w:ascii="仿宋" w:hAnsi="仿宋" w:eastAsia="仿宋" w:cs="宋体"/>
                <w:bCs/>
                <w:szCs w:val="21"/>
                <w:vertAlign w:val="superscript"/>
              </w:rPr>
              <w:t>3</w:t>
            </w:r>
            <w:r>
              <w:rPr>
                <w:rFonts w:hint="eastAsia" w:ascii="仿宋" w:hAnsi="仿宋" w:eastAsia="仿宋" w:cs="宋体"/>
                <w:bCs/>
                <w:szCs w:val="21"/>
              </w:rPr>
              <w:t>（其中汽油储量：30m</w:t>
            </w:r>
            <w:r>
              <w:rPr>
                <w:rFonts w:hint="eastAsia" w:ascii="仿宋" w:hAnsi="仿宋" w:eastAsia="仿宋" w:cs="宋体"/>
                <w:bCs/>
                <w:szCs w:val="21"/>
                <w:vertAlign w:val="superscript"/>
              </w:rPr>
              <w:t>3</w:t>
            </w:r>
            <w:r>
              <w:rPr>
                <w:rFonts w:hint="eastAsia" w:ascii="仿宋" w:hAnsi="仿宋" w:eastAsia="仿宋" w:cs="宋体"/>
                <w:bCs/>
                <w:szCs w:val="21"/>
              </w:rPr>
              <w:t>，柴油储量：30m</w:t>
            </w:r>
            <w:r>
              <w:rPr>
                <w:rFonts w:hint="eastAsia" w:ascii="仿宋" w:hAnsi="仿宋" w:eastAsia="仿宋" w:cs="宋体"/>
                <w:bCs/>
                <w:szCs w:val="21"/>
                <w:vertAlign w:val="superscript"/>
              </w:rPr>
              <w:t>3</w:t>
            </w:r>
            <w:r>
              <w:rPr>
                <w:rFonts w:hint="eastAsia" w:ascii="仿宋" w:hAnsi="仿宋" w:eastAsia="仿宋" w:cs="宋体"/>
                <w:bCs/>
                <w:szCs w:val="21"/>
              </w:rPr>
              <w:t>，柴油折半计入总容积）。</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5）建设地点：甘肃省陇南市康县豆坝镇豆坝村</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6）用地面积：该项目总用地面积约5595.25m2，该加油站用地面积2039.3m2，预留用地面积3555.95m</w:t>
            </w:r>
            <w:r>
              <w:rPr>
                <w:rFonts w:hint="eastAsia" w:ascii="仿宋" w:hAnsi="仿宋" w:eastAsia="仿宋" w:cs="宋体"/>
                <w:bCs/>
                <w:szCs w:val="21"/>
                <w:vertAlign w:val="superscript"/>
              </w:rPr>
              <w:t>2</w:t>
            </w:r>
            <w:r>
              <w:rPr>
                <w:rFonts w:hint="eastAsia" w:ascii="仿宋" w:hAnsi="仿宋" w:eastAsia="仿宋" w:cs="宋体"/>
                <w:bCs/>
                <w:szCs w:val="21"/>
              </w:rPr>
              <w:t>。</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7）建筑面积：176.5m</w:t>
            </w:r>
            <w:r>
              <w:rPr>
                <w:rFonts w:hint="eastAsia" w:ascii="仿宋" w:hAnsi="仿宋" w:eastAsia="仿宋" w:cs="宋体"/>
                <w:bCs/>
                <w:szCs w:val="21"/>
                <w:vertAlign w:val="superscript"/>
              </w:rPr>
              <w:t>2</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8）工程总投资：508万元</w:t>
            </w:r>
          </w:p>
          <w:p>
            <w:pPr>
              <w:adjustRightInd w:val="0"/>
              <w:snapToGrid w:val="0"/>
              <w:ind w:firstLine="420" w:firstLineChars="200"/>
              <w:rPr>
                <w:rFonts w:ascii="仿宋" w:hAnsi="仿宋" w:eastAsia="仿宋" w:cs="宋体"/>
                <w:bCs/>
                <w:szCs w:val="21"/>
              </w:rPr>
            </w:pPr>
            <w:r>
              <w:rPr>
                <w:rFonts w:hint="eastAsia" w:ascii="仿宋" w:hAnsi="仿宋" w:eastAsia="仿宋" w:cs="宋体"/>
                <w:bCs/>
                <w:szCs w:val="21"/>
              </w:rPr>
              <w:t>9）劳动定员：3人</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rPr>
                <w:rFonts w:ascii="仿宋" w:hAnsi="仿宋" w:eastAsia="仿宋" w:cs="宋体"/>
                <w:szCs w:val="21"/>
              </w:rPr>
              <w:drawing>
                <wp:inline distT="0" distB="0" distL="0" distR="0">
                  <wp:extent cx="4283075" cy="3212465"/>
                  <wp:effectExtent l="0" t="0" r="3175" b="6985"/>
                  <wp:docPr id="1" name="图片 1" descr="G:\2022报告\2021.8.30中国石油陇南销售分公司康县豆坝加油站安全验收评价（1.5万）\2022.2.24中国石油甘肃陇南销售分公司康县豆坝加油站建设项目安全设施竣工验收评价报告\6.现场照片\IMG_29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2022报告\2021.8.30中国石油陇南销售分公司康县豆坝加油站安全验收评价（1.5万）\2022.2.24中国石油甘肃陇南销售分公司康县豆坝加油站建设项目安全设施竣工验收评价报告\6.现场照片\IMG_293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83075" cy="3212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白建明、赵长军</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w:t>
            </w:r>
            <w:r>
              <w:rPr>
                <w:rFonts w:hint="eastAsia" w:ascii="仿宋" w:hAnsi="仿宋" w:eastAsia="仿宋"/>
                <w:szCs w:val="21"/>
              </w:rPr>
              <w:t>1</w:t>
            </w:r>
            <w:r>
              <w:rPr>
                <w:rFonts w:ascii="仿宋" w:hAnsi="仿宋" w:eastAsia="仿宋"/>
                <w:szCs w:val="21"/>
              </w:rPr>
              <w:t>.</w:t>
            </w:r>
            <w:r>
              <w:rPr>
                <w:rFonts w:hint="eastAsia" w:ascii="仿宋" w:hAnsi="仿宋" w:eastAsia="仿宋"/>
                <w:szCs w:val="21"/>
              </w:rPr>
              <w:t>8</w:t>
            </w:r>
            <w:r>
              <w:rPr>
                <w:rFonts w:ascii="仿宋" w:hAnsi="仿宋" w:eastAsia="仿宋"/>
                <w:szCs w:val="21"/>
              </w:rPr>
              <w:t>.</w:t>
            </w:r>
            <w:r>
              <w:rPr>
                <w:rFonts w:hint="eastAsia" w:ascii="仿宋" w:hAnsi="仿宋" w:eastAsia="仿宋"/>
                <w:szCs w:val="21"/>
              </w:rPr>
              <w:t>30</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rPr>
                <w:rFonts w:ascii="仿宋" w:hAnsi="仿宋" w:eastAsia="仿宋"/>
                <w:szCs w:val="21"/>
              </w:rPr>
            </w:pPr>
            <w:r>
              <w:rPr>
                <w:rFonts w:hint="eastAsia" w:ascii="仿宋" w:hAnsi="仿宋" w:eastAsia="仿宋"/>
                <w:szCs w:val="21"/>
              </w:rPr>
              <w:t>站房内应急照明灯、安全出口指示灯电气线路故障</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056B314E"/>
    <w:rsid w:val="056B314E"/>
    <w:rsid w:val="3E682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886</Words>
  <Characters>1268</Characters>
  <Lines>0</Lines>
  <Paragraphs>0</Paragraphs>
  <TotalTime>0</TotalTime>
  <ScaleCrop>false</ScaleCrop>
  <LinksUpToDate>false</LinksUpToDate>
  <CharactersWithSpaces>1287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2022-06-01T01:45:00Z</dcterms:created>
  <dc:creator>雷楠</dc:creator>
  <cp:lastModifiedBy>雷楠</cp:lastModifiedBy>
  <dcterms:modified xsi:type="dcterms:W3CDTF">2022-06-01T02:03:09Z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36D3215C603A4151951945C168E98094</vt:lpwstr>
  </property>
</Properties>
</file>