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 xml:space="preserve"> 冀东水泥重庆合川有限责任公司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冀东水泥重庆合川有限责任公司大庙石灰岩矿水泥用石灰岩矿山（改建）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2022.3</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 w:val="24"/>
                <w:szCs w:val="24"/>
              </w:rPr>
            </w:pPr>
            <w:r>
              <w:rPr>
                <w:rFonts w:hint="eastAsia" w:ascii="仿宋_GB2312" w:hAnsi="仿宋_GB2312" w:eastAsia="仿宋_GB2312" w:cs="仿宋_GB2312"/>
                <w:color w:val="000000"/>
                <w:sz w:val="24"/>
                <w:szCs w:val="24"/>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 w:val="24"/>
                <w:szCs w:val="24"/>
              </w:rPr>
            </w:pPr>
            <w:r>
              <w:rPr>
                <w:rFonts w:ascii="仿宋_GB2312" w:hAnsi="仿宋_GB2312" w:eastAsia="仿宋_GB2312" w:cs="仿宋_GB2312"/>
                <w:color w:val="000000"/>
                <w:sz w:val="24"/>
                <w:szCs w:val="24"/>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560"/>
              <w:rPr>
                <w:color w:val="000000"/>
                <w:szCs w:val="28"/>
              </w:rPr>
            </w:pPr>
            <w:r>
              <w:rPr>
                <w:color w:val="000000"/>
                <w:szCs w:val="28"/>
              </w:rPr>
              <w:t>冀东水泥重庆合川有限责任公司成立于2008年12月5日，位于重庆市合川区草街镇大庙村，经济类型为有限责任公司（法人独资），法定代表人马庆海。经营范围为露天开采水泥用石灰岩、水泥熟料、水泥的生产及销售等。</w:t>
            </w:r>
          </w:p>
          <w:p>
            <w:pPr>
              <w:ind w:firstLine="560"/>
              <w:rPr>
                <w:color w:val="000000"/>
                <w:szCs w:val="28"/>
              </w:rPr>
            </w:pPr>
            <w:r>
              <w:rPr>
                <w:color w:val="000000"/>
                <w:szCs w:val="28"/>
              </w:rPr>
              <w:t>冀东水泥重庆合川有限责任公司大庙石灰岩矿水泥用石灰岩矿山为该公司露天非煤矿山，采矿许可证号：G500002011037130110096，生产规模：2000kt/a，开采标高：+425m～+250m，有效期限：2020年7月14日至2039年9月30日；安全生产许可证号：（渝）FM安许证字〔2021〕合川延一170110号，有效期限自2021年4月8日至2024年4月7日。</w:t>
            </w:r>
          </w:p>
          <w:p>
            <w:pPr>
              <w:ind w:firstLine="560"/>
              <w:rPr>
                <w:color w:val="000000"/>
                <w:szCs w:val="28"/>
              </w:rPr>
            </w:pPr>
            <w:r>
              <w:rPr>
                <w:color w:val="000000"/>
                <w:szCs w:val="28"/>
              </w:rPr>
              <w:t>由于原设计</w:t>
            </w:r>
            <w:r>
              <w:rPr>
                <w:rFonts w:hint="eastAsia"/>
                <w:color w:val="000000"/>
                <w:szCs w:val="28"/>
              </w:rPr>
              <w:t>开采</w:t>
            </w:r>
            <w:r>
              <w:rPr>
                <w:color w:val="000000"/>
                <w:szCs w:val="28"/>
              </w:rPr>
              <w:t>范围资源枯竭，</w:t>
            </w:r>
            <w:r>
              <w:rPr>
                <w:rFonts w:hint="eastAsia"/>
                <w:color w:val="000000"/>
                <w:szCs w:val="28"/>
              </w:rPr>
              <w:t>为满足市场需求和保障企业的长远发展，</w:t>
            </w:r>
            <w:r>
              <w:rPr>
                <w:color w:val="000000"/>
                <w:szCs w:val="28"/>
              </w:rPr>
              <w:t>企业</w:t>
            </w:r>
            <w:r>
              <w:rPr>
                <w:rFonts w:hint="eastAsia"/>
                <w:color w:val="000000"/>
                <w:szCs w:val="28"/>
              </w:rPr>
              <w:t>拟</w:t>
            </w:r>
            <w:r>
              <w:rPr>
                <w:color w:val="000000"/>
                <w:szCs w:val="28"/>
              </w:rPr>
              <w:t>重新调整开采范围</w:t>
            </w:r>
            <w:r>
              <w:rPr>
                <w:rFonts w:hint="eastAsia"/>
                <w:color w:val="000000"/>
                <w:szCs w:val="28"/>
              </w:rPr>
              <w:t>，对北侧原排土场压覆矿区资源区域进行开采，该排土场已按照《冀东水泥重庆合川有限责任公司大庙石灰岩矿水泥用石灰岩矿山排土场资源回收利用方案》回收利用至+270m水平，且原设计北侧二期开采工艺由机械开采变为爆破开采</w:t>
            </w:r>
            <w:r>
              <w:rPr>
                <w:color w:val="000000"/>
                <w:szCs w:val="28"/>
              </w:rPr>
              <w:t>。根据《建设项目安全设施“三同时”监督管理办法》（国家安全生产监督管理总局令第36号发布，国家安全生产监督管理总局令第77号修正）的要求，该项目应按照“改建”性质履行安全设施“三同时”程序</w:t>
            </w:r>
            <w:r>
              <w:rPr>
                <w:rFonts w:hint="eastAsia"/>
                <w:color w:val="000000"/>
                <w:szCs w:val="28"/>
              </w:rPr>
              <w:t>，</w:t>
            </w:r>
            <w:r>
              <w:rPr>
                <w:color w:val="000000"/>
                <w:szCs w:val="28"/>
              </w:rPr>
              <w:t>前期企业已编制了《重庆市合川区</w:t>
            </w:r>
            <w:r>
              <w:rPr>
                <w:rFonts w:hint="eastAsia"/>
                <w:color w:val="000000"/>
                <w:szCs w:val="28"/>
              </w:rPr>
              <w:t>大庙水泥用石灰岩矿开发利用方案（</w:t>
            </w:r>
            <w:r>
              <w:rPr>
                <w:color w:val="000000"/>
                <w:szCs w:val="28"/>
              </w:rPr>
              <w:t>改建</w:t>
            </w:r>
            <w:r>
              <w:rPr>
                <w:rFonts w:hint="eastAsia"/>
                <w:color w:val="000000"/>
                <w:szCs w:val="28"/>
              </w:rPr>
              <w:t>）</w:t>
            </w:r>
            <w:r>
              <w:rPr>
                <w:color w:val="000000"/>
                <w:szCs w:val="28"/>
              </w:rPr>
              <w:t>》，方案设计采用露天开采、</w:t>
            </w:r>
            <w:r>
              <w:rPr>
                <w:rFonts w:hint="eastAsia"/>
                <w:color w:val="000000"/>
                <w:szCs w:val="28"/>
              </w:rPr>
              <w:t>自上而下</w:t>
            </w:r>
            <w:r>
              <w:rPr>
                <w:color w:val="000000"/>
                <w:szCs w:val="28"/>
              </w:rPr>
              <w:t>台阶式开采，</w:t>
            </w:r>
            <w:r>
              <w:rPr>
                <w:rFonts w:hint="eastAsia"/>
                <w:color w:val="000000"/>
                <w:szCs w:val="28"/>
              </w:rPr>
              <w:t>矿石赋存标高在</w:t>
            </w:r>
            <w:r>
              <w:rPr>
                <w:color w:val="000000"/>
                <w:szCs w:val="28"/>
              </w:rPr>
              <w:t>+425~+250m</w:t>
            </w:r>
            <w:r>
              <w:rPr>
                <w:rFonts w:hint="eastAsia"/>
                <w:color w:val="000000"/>
                <w:szCs w:val="28"/>
              </w:rPr>
              <w:t>之间</w:t>
            </w:r>
            <w:r>
              <w:rPr>
                <w:color w:val="000000"/>
                <w:szCs w:val="28"/>
              </w:rPr>
              <w:t>，</w:t>
            </w:r>
            <w:r>
              <w:rPr>
                <w:rFonts w:hint="eastAsia"/>
                <w:color w:val="000000"/>
                <w:szCs w:val="28"/>
              </w:rPr>
              <w:t>矿山开采时工作台阶坡面角不大于</w:t>
            </w:r>
            <w:r>
              <w:rPr>
                <w:color w:val="000000"/>
                <w:szCs w:val="28"/>
              </w:rPr>
              <w:t>48</w:t>
            </w:r>
            <w:r>
              <w:rPr>
                <w:rFonts w:hint="eastAsia"/>
                <w:color w:val="000000"/>
                <w:szCs w:val="28"/>
              </w:rPr>
              <w:t>～</w:t>
            </w:r>
            <w:r>
              <w:rPr>
                <w:color w:val="000000"/>
                <w:szCs w:val="28"/>
              </w:rPr>
              <w:t>60°</w:t>
            </w:r>
            <w:r>
              <w:rPr>
                <w:rFonts w:hint="eastAsia"/>
                <w:color w:val="000000"/>
                <w:szCs w:val="28"/>
              </w:rPr>
              <w:t>，切向坡和反向坡最终开采的坡面角不大于</w:t>
            </w:r>
            <w:r>
              <w:rPr>
                <w:color w:val="000000"/>
                <w:szCs w:val="28"/>
              </w:rPr>
              <w:t>48°</w:t>
            </w:r>
            <w:r>
              <w:rPr>
                <w:rFonts w:hint="eastAsia"/>
                <w:color w:val="000000"/>
                <w:szCs w:val="28"/>
              </w:rPr>
              <w:t>，顺向坡不大于</w:t>
            </w:r>
            <w:r>
              <w:rPr>
                <w:color w:val="000000"/>
                <w:szCs w:val="28"/>
              </w:rPr>
              <w:t>20°</w:t>
            </w:r>
            <w:r>
              <w:rPr>
                <w:rFonts w:hint="eastAsia"/>
                <w:color w:val="000000"/>
                <w:szCs w:val="28"/>
              </w:rPr>
              <w:t>～</w:t>
            </w:r>
            <w:r>
              <w:rPr>
                <w:color w:val="000000"/>
                <w:szCs w:val="28"/>
              </w:rPr>
              <w:t>30°</w:t>
            </w:r>
            <w:r>
              <w:rPr>
                <w:rFonts w:hint="eastAsia"/>
                <w:color w:val="000000"/>
                <w:szCs w:val="28"/>
              </w:rPr>
              <w:t>。矿山开采每个生产台阶原则上按</w:t>
            </w:r>
            <w:r>
              <w:rPr>
                <w:color w:val="000000"/>
                <w:szCs w:val="28"/>
              </w:rPr>
              <w:t>+280</w:t>
            </w:r>
            <w:r>
              <w:rPr>
                <w:rFonts w:hint="eastAsia"/>
                <w:color w:val="000000"/>
                <w:szCs w:val="28"/>
              </w:rPr>
              <w:t>以上台阶高度</w:t>
            </w:r>
            <w:r>
              <w:rPr>
                <w:color w:val="000000"/>
                <w:szCs w:val="28"/>
              </w:rPr>
              <w:t>10m</w:t>
            </w:r>
            <w:r>
              <w:rPr>
                <w:rFonts w:hint="eastAsia"/>
                <w:color w:val="000000"/>
                <w:szCs w:val="28"/>
              </w:rPr>
              <w:t>（</w:t>
            </w:r>
            <w:r>
              <w:rPr>
                <w:color w:val="000000"/>
                <w:szCs w:val="28"/>
              </w:rPr>
              <w:t>+280m</w:t>
            </w:r>
            <w:r>
              <w:rPr>
                <w:rFonts w:hint="eastAsia"/>
                <w:color w:val="000000"/>
                <w:szCs w:val="28"/>
              </w:rPr>
              <w:t>以下</w:t>
            </w:r>
            <w:r>
              <w:rPr>
                <w:color w:val="000000"/>
                <w:szCs w:val="28"/>
              </w:rPr>
              <w:t>15m</w:t>
            </w:r>
            <w:r>
              <w:rPr>
                <w:rFonts w:hint="eastAsia"/>
                <w:color w:val="000000"/>
                <w:szCs w:val="28"/>
              </w:rPr>
              <w:t>），安全平台：宽度为</w:t>
            </w:r>
            <w:r>
              <w:rPr>
                <w:color w:val="000000"/>
                <w:szCs w:val="28"/>
              </w:rPr>
              <w:t>4m</w:t>
            </w:r>
            <w:r>
              <w:rPr>
                <w:rFonts w:hint="eastAsia"/>
                <w:color w:val="000000"/>
                <w:szCs w:val="28"/>
              </w:rPr>
              <w:t>（</w:t>
            </w:r>
            <w:r>
              <w:rPr>
                <w:color w:val="000000"/>
                <w:szCs w:val="28"/>
              </w:rPr>
              <w:t>+280m</w:t>
            </w:r>
            <w:r>
              <w:rPr>
                <w:rFonts w:hint="eastAsia"/>
                <w:color w:val="000000"/>
                <w:szCs w:val="28"/>
              </w:rPr>
              <w:t>以下</w:t>
            </w:r>
            <w:r>
              <w:rPr>
                <w:color w:val="000000"/>
                <w:szCs w:val="28"/>
              </w:rPr>
              <w:t>5m</w:t>
            </w:r>
            <w:r>
              <w:rPr>
                <w:rFonts w:hint="eastAsia"/>
                <w:color w:val="000000"/>
                <w:szCs w:val="28"/>
              </w:rPr>
              <w:t>）；运输、清扫平台：</w:t>
            </w:r>
            <w:r>
              <w:rPr>
                <w:color w:val="000000"/>
                <w:szCs w:val="28"/>
              </w:rPr>
              <w:t>8</w:t>
            </w:r>
            <w:r>
              <w:rPr>
                <w:rFonts w:hint="eastAsia"/>
                <w:color w:val="000000"/>
                <w:szCs w:val="28"/>
              </w:rPr>
              <w:t>～</w:t>
            </w:r>
            <w:r>
              <w:rPr>
                <w:color w:val="000000"/>
                <w:szCs w:val="28"/>
              </w:rPr>
              <w:t>10m</w:t>
            </w:r>
            <w:r>
              <w:rPr>
                <w:rFonts w:hint="eastAsia"/>
                <w:color w:val="000000"/>
                <w:szCs w:val="28"/>
              </w:rPr>
              <w:t>，隔一个安全平台设一个运输、清扫平台。最终底盘最小宽度大于</w:t>
            </w:r>
            <w:r>
              <w:rPr>
                <w:color w:val="000000"/>
                <w:szCs w:val="28"/>
              </w:rPr>
              <w:t>60m。</w:t>
            </w:r>
            <w:r>
              <w:rPr>
                <w:rFonts w:hint="eastAsia"/>
                <w:color w:val="000000"/>
                <w:szCs w:val="28"/>
              </w:rPr>
              <w:t>矿山距离水泥厂较近，企业不设置工业广场。</w:t>
            </w:r>
            <w:r>
              <w:rPr>
                <w:color w:val="000000"/>
                <w:szCs w:val="28"/>
              </w:rPr>
              <w:t>矿山适宜采用公路开拓、汽车运输方案。</w:t>
            </w:r>
          </w:p>
          <w:p>
            <w:pPr>
              <w:adjustRightInd w:val="0"/>
              <w:snapToGrid w:val="0"/>
              <w:spacing w:line="360" w:lineRule="auto"/>
              <w:jc w:val="center"/>
              <w:rPr>
                <w:rFonts w:hint="eastAsia" w:ascii="仿宋" w:hAnsi="仿宋" w:eastAsia="仿宋" w:cs="仿宋"/>
                <w:color w:val="000000"/>
                <w:szCs w:val="21"/>
              </w:rPr>
            </w:pPr>
            <w:r>
              <w:rPr>
                <w:rFonts w:ascii="仿宋" w:hAnsi="仿宋" w:eastAsia="仿宋" w:cs="仿宋"/>
                <w:color w:val="000000"/>
                <w:szCs w:val="21"/>
              </w:rPr>
              <w:drawing>
                <wp:inline distT="0" distB="0" distL="114300" distR="114300">
                  <wp:extent cx="5707380" cy="4280535"/>
                  <wp:effectExtent l="0" t="0" r="7620" b="5715"/>
                  <wp:docPr id="1" name="图片 1" descr="现场勘查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查照片"/>
                          <pic:cNvPicPr>
                            <a:picLocks noChangeAspect="1"/>
                          </pic:cNvPicPr>
                        </pic:nvPicPr>
                        <pic:blipFill>
                          <a:blip r:embed="rId4"/>
                          <a:stretch>
                            <a:fillRect/>
                          </a:stretch>
                        </pic:blipFill>
                        <pic:spPr>
                          <a:xfrm>
                            <a:off x="0" y="0"/>
                            <a:ext cx="5707380" cy="42805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2021年9月29日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2021年9月29日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3171E8"/>
    <w:rsid w:val="1B317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2022-05-09T06:13:00Z</dcterms:created>
  <dc:creator>雷楠</dc:creator>
  <cp:lastModifiedBy>雷楠</cp:lastModifiedBy>
  <dcterms:modified xsi:type="dcterms:W3CDTF">2022-05-09T06:14:02Z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4BF8D3741C254824BEDB006F7B8EBF86</vt:lpwstr>
  </property>
</Properties>
</file>