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715"/>
        <w:gridCol w:w="782"/>
        <w:gridCol w:w="668"/>
        <w:gridCol w:w="145"/>
        <w:gridCol w:w="949"/>
        <w:gridCol w:w="311"/>
        <w:gridCol w:w="245"/>
        <w:gridCol w:w="1042"/>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6"/>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沿河县毛田加油站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lang w:eastAsia="zh-CN"/>
              </w:rPr>
              <w:t>沿河县毛田加油站安全现状评价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危险化学品储存经营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5"/>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5"/>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5"/>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朱继红</w:t>
            </w:r>
          </w:p>
        </w:tc>
        <w:tc>
          <w:tcPr>
            <w:tcW w:w="2710" w:type="dxa"/>
            <w:gridSpan w:val="5"/>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_GB2312" w:eastAsia="仿宋_GB2312"/>
                <w:sz w:val="24"/>
                <w:lang w:eastAsia="zh-CN"/>
              </w:rPr>
              <w:t>冯</w:t>
            </w:r>
            <w:r>
              <w:rPr>
                <w:rFonts w:hint="eastAsia" w:ascii="仿宋_GB2312" w:eastAsia="仿宋_GB2312"/>
                <w:sz w:val="24"/>
                <w:lang w:val="en-US" w:eastAsia="zh-CN"/>
              </w:rPr>
              <w:t xml:space="preserve">  </w:t>
            </w:r>
            <w:r>
              <w:rPr>
                <w:rFonts w:hint="eastAsia" w:ascii="仿宋_GB2312" w:eastAsia="仿宋_GB2312"/>
                <w:sz w:val="24"/>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黄义旭</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392"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855"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朱继红</w:t>
            </w:r>
          </w:p>
        </w:tc>
        <w:tc>
          <w:tcPr>
            <w:tcW w:w="1392" w:type="dxa"/>
            <w:gridSpan w:val="2"/>
            <w:noWrap w:val="0"/>
            <w:vAlign w:val="center"/>
          </w:tcPr>
          <w:p>
            <w:pPr>
              <w:widowControl/>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化工工艺</w:t>
            </w:r>
          </w:p>
        </w:tc>
        <w:tc>
          <w:tcPr>
            <w:tcW w:w="2855" w:type="dxa"/>
            <w:gridSpan w:val="5"/>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007765</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何文勋</w:t>
            </w:r>
          </w:p>
        </w:tc>
        <w:tc>
          <w:tcPr>
            <w:tcW w:w="1392"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val="en-US" w:eastAsia="zh-CN"/>
              </w:rPr>
              <w:t>安全工程</w:t>
            </w:r>
          </w:p>
        </w:tc>
        <w:tc>
          <w:tcPr>
            <w:tcW w:w="2855" w:type="dxa"/>
            <w:gridSpan w:val="5"/>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035650</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田祖伟</w:t>
            </w:r>
          </w:p>
        </w:tc>
        <w:tc>
          <w:tcPr>
            <w:tcW w:w="1392"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eastAsia="zh-CN"/>
              </w:rPr>
              <w:t>安全工程</w:t>
            </w:r>
          </w:p>
        </w:tc>
        <w:tc>
          <w:tcPr>
            <w:tcW w:w="2855"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030719</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55180193956</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席  刚</w:t>
            </w:r>
          </w:p>
        </w:tc>
        <w:tc>
          <w:tcPr>
            <w:tcW w:w="1392"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eastAsia="zh-CN"/>
              </w:rPr>
              <w:t>化工工艺</w:t>
            </w:r>
          </w:p>
        </w:tc>
        <w:tc>
          <w:tcPr>
            <w:tcW w:w="2855" w:type="dxa"/>
            <w:gridSpan w:val="5"/>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lang w:val="en-US" w:eastAsia="zh-CN"/>
              </w:rPr>
              <w:t>021106</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陈红旭</w:t>
            </w:r>
          </w:p>
        </w:tc>
        <w:tc>
          <w:tcPr>
            <w:tcW w:w="1392"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机械</w:t>
            </w:r>
          </w:p>
        </w:tc>
        <w:tc>
          <w:tcPr>
            <w:tcW w:w="2855"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041366</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王永辉</w:t>
            </w:r>
          </w:p>
        </w:tc>
        <w:tc>
          <w:tcPr>
            <w:tcW w:w="1392"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val="en-US" w:eastAsia="zh-CN"/>
              </w:rPr>
              <w:t>电气</w:t>
            </w:r>
          </w:p>
        </w:tc>
        <w:tc>
          <w:tcPr>
            <w:tcW w:w="2855"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034150</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孟萌萌</w:t>
            </w:r>
          </w:p>
        </w:tc>
        <w:tc>
          <w:tcPr>
            <w:tcW w:w="1392"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电气</w:t>
            </w:r>
          </w:p>
        </w:tc>
        <w:tc>
          <w:tcPr>
            <w:tcW w:w="2855"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019246</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唐  波</w:t>
            </w:r>
          </w:p>
        </w:tc>
        <w:tc>
          <w:tcPr>
            <w:tcW w:w="1392"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val="en-US" w:eastAsia="zh-CN"/>
              </w:rPr>
              <w:t>化工机械</w:t>
            </w:r>
          </w:p>
        </w:tc>
        <w:tc>
          <w:tcPr>
            <w:tcW w:w="2855"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035894</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刘文娟</w:t>
            </w:r>
          </w:p>
        </w:tc>
        <w:tc>
          <w:tcPr>
            <w:tcW w:w="1392" w:type="dxa"/>
            <w:gridSpan w:val="2"/>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val="en-US" w:eastAsia="zh-CN"/>
              </w:rPr>
              <w:t>自动化</w:t>
            </w:r>
          </w:p>
        </w:tc>
        <w:tc>
          <w:tcPr>
            <w:tcW w:w="2855"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019235</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sz w:val="21"/>
                <w:lang w:val="en-US" w:eastAsia="zh-CN"/>
              </w:rPr>
            </w:pPr>
            <w:r>
              <w:rPr>
                <w:rFonts w:hint="eastAsia" w:ascii="仿宋" w:hAnsi="仿宋" w:eastAsia="仿宋" w:cs="Times New Roman"/>
                <w:sz w:val="21"/>
                <w:lang w:val="en-US" w:eastAsia="zh-CN"/>
              </w:rPr>
              <w:t>黄义旭</w:t>
            </w:r>
          </w:p>
        </w:tc>
        <w:tc>
          <w:tcPr>
            <w:tcW w:w="1392"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val="en-US" w:eastAsia="zh-CN"/>
              </w:rPr>
              <w:t>地质工程</w:t>
            </w:r>
          </w:p>
        </w:tc>
        <w:tc>
          <w:tcPr>
            <w:tcW w:w="2855"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sz w:val="21"/>
                <w:lang w:val="en-US" w:eastAsia="zh-CN"/>
              </w:rPr>
            </w:pPr>
            <w:r>
              <w:rPr>
                <w:rFonts w:hint="eastAsia" w:ascii="仿宋" w:hAnsi="仿宋" w:eastAsia="仿宋" w:cs="Times New Roman"/>
                <w:sz w:val="21"/>
                <w:lang w:val="en-US" w:eastAsia="zh-CN"/>
              </w:rPr>
              <w:t>040714</w:t>
            </w:r>
          </w:p>
        </w:tc>
        <w:tc>
          <w:tcPr>
            <w:tcW w:w="2662" w:type="dxa"/>
            <w:gridSpan w:val="5"/>
            <w:noWrap w:val="0"/>
            <w:vAlign w:val="center"/>
          </w:tcPr>
          <w:p>
            <w:pPr>
              <w:widowControl/>
              <w:adjustRightInd/>
              <w:snapToGrid/>
              <w:jc w:val="center"/>
              <w:rPr>
                <w:rFonts w:hint="default"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蔡治勇</w:t>
            </w:r>
          </w:p>
        </w:tc>
        <w:tc>
          <w:tcPr>
            <w:tcW w:w="1392"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火炸药、安全</w:t>
            </w:r>
          </w:p>
        </w:tc>
        <w:tc>
          <w:tcPr>
            <w:tcW w:w="2855"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val="en-US" w:eastAsia="zh-CN"/>
              </w:rPr>
              <w:t>003832</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55080052964</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冯</w:t>
            </w:r>
            <w:r>
              <w:rPr>
                <w:rFonts w:hint="eastAsia" w:ascii="仿宋" w:hAnsi="仿宋" w:eastAsia="仿宋" w:cs="Times New Roman"/>
                <w:kern w:val="2"/>
                <w:szCs w:val="20"/>
                <w:lang w:val="en-US" w:eastAsia="zh-CN"/>
              </w:rPr>
              <w:t xml:space="preserve">  </w:t>
            </w:r>
            <w:r>
              <w:rPr>
                <w:rFonts w:hint="eastAsia" w:ascii="仿宋" w:hAnsi="仿宋" w:eastAsia="仿宋" w:cs="Times New Roman"/>
                <w:kern w:val="2"/>
                <w:szCs w:val="20"/>
                <w:lang w:eastAsia="zh-CN"/>
              </w:rPr>
              <w:t>皓</w:t>
            </w:r>
          </w:p>
        </w:tc>
        <w:tc>
          <w:tcPr>
            <w:tcW w:w="1392"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机械、化工机械</w:t>
            </w:r>
          </w:p>
        </w:tc>
        <w:tc>
          <w:tcPr>
            <w:tcW w:w="2855"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val="en-US" w:eastAsia="zh-CN"/>
              </w:rPr>
              <w:t>019237</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55130140330</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刘国勇</w:t>
            </w:r>
          </w:p>
        </w:tc>
        <w:tc>
          <w:tcPr>
            <w:tcW w:w="1392"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化工工艺</w:t>
            </w:r>
          </w:p>
        </w:tc>
        <w:tc>
          <w:tcPr>
            <w:tcW w:w="2855"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val="en-US" w:eastAsia="zh-CN"/>
              </w:rPr>
              <w:t>019234</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55060013805</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spacing w:line="240" w:lineRule="auto"/>
              <w:ind w:firstLine="422" w:firstLineChars="200"/>
              <w:rPr>
                <w:rFonts w:hint="eastAsia" w:ascii="仿宋" w:hAnsi="仿宋" w:eastAsia="仿宋" w:cs="仿宋"/>
                <w:color w:val="auto"/>
                <w:sz w:val="21"/>
                <w:szCs w:val="21"/>
              </w:rPr>
            </w:pPr>
            <w:r>
              <w:rPr>
                <w:rFonts w:hint="eastAsia" w:ascii="仿宋" w:hAnsi="仿宋" w:eastAsia="仿宋" w:cs="宋体"/>
                <w:b/>
                <w:bCs/>
                <w:szCs w:val="21"/>
                <w:lang w:eastAsia="zh-CN"/>
              </w:rPr>
              <w:t>项目简介：</w:t>
            </w:r>
            <w:r>
              <w:rPr>
                <w:rFonts w:hint="eastAsia" w:ascii="仿宋" w:hAnsi="仿宋" w:eastAsia="仿宋" w:cs="仿宋"/>
                <w:color w:val="auto"/>
                <w:szCs w:val="21"/>
                <w:lang w:eastAsia="zh-CN"/>
              </w:rPr>
              <w:t>沿河县毛田加油站于</w:t>
            </w:r>
            <w:r>
              <w:rPr>
                <w:rFonts w:hint="eastAsia" w:ascii="仿宋" w:hAnsi="仿宋" w:eastAsia="仿宋" w:cs="仿宋"/>
                <w:color w:val="auto"/>
                <w:szCs w:val="21"/>
                <w:lang w:val="en-US" w:eastAsia="zh-CN"/>
              </w:rPr>
              <w:t>2014年5月27日取得营业执照，法定代表人：张雷；毛田加油站</w:t>
            </w:r>
            <w:r>
              <w:rPr>
                <w:rFonts w:hint="eastAsia" w:ascii="仿宋" w:hAnsi="仿宋" w:eastAsia="仿宋" w:cs="仿宋"/>
                <w:color w:val="auto"/>
                <w:szCs w:val="21"/>
              </w:rPr>
              <w:t>位于</w:t>
            </w:r>
            <w:r>
              <w:rPr>
                <w:rFonts w:hint="eastAsia" w:ascii="仿宋" w:hAnsi="仿宋" w:eastAsia="仿宋" w:cs="仿宋"/>
                <w:color w:val="auto"/>
                <w:szCs w:val="21"/>
                <w:lang w:eastAsia="zh-CN"/>
              </w:rPr>
              <w:t>贵州省铜仁市沿河土家族自治县甘溪镇毛田场上</w:t>
            </w:r>
            <w:r>
              <w:rPr>
                <w:rFonts w:hint="eastAsia" w:ascii="仿宋" w:hAnsi="仿宋" w:eastAsia="仿宋" w:cs="仿宋"/>
                <w:color w:val="auto"/>
                <w:szCs w:val="21"/>
              </w:rPr>
              <w:t>，</w:t>
            </w:r>
            <w:r>
              <w:rPr>
                <w:rFonts w:hint="eastAsia" w:ascii="仿宋" w:hAnsi="仿宋" w:eastAsia="仿宋" w:cs="仿宋"/>
                <w:color w:val="auto"/>
                <w:sz w:val="21"/>
                <w:szCs w:val="21"/>
                <w:lang w:eastAsia="zh-CN"/>
              </w:rPr>
              <w:t>距离甘溪镇约</w:t>
            </w:r>
            <w:r>
              <w:rPr>
                <w:rFonts w:hint="eastAsia" w:ascii="仿宋" w:hAnsi="仿宋" w:eastAsia="仿宋" w:cs="仿宋"/>
                <w:color w:val="auto"/>
                <w:sz w:val="21"/>
                <w:szCs w:val="21"/>
                <w:lang w:val="en-US" w:eastAsia="zh-CN"/>
              </w:rPr>
              <w:t>7.5</w:t>
            </w:r>
            <w:r>
              <w:rPr>
                <w:rFonts w:hint="eastAsia" w:ascii="仿宋" w:hAnsi="仿宋" w:eastAsia="仿宋" w:cs="仿宋"/>
                <w:color w:val="auto"/>
                <w:sz w:val="21"/>
                <w:szCs w:val="21"/>
              </w:rPr>
              <w:t>km，</w:t>
            </w:r>
            <w:r>
              <w:rPr>
                <w:rFonts w:hint="eastAsia" w:ascii="仿宋" w:hAnsi="仿宋" w:eastAsia="仿宋" w:cs="仿宋"/>
                <w:color w:val="auto"/>
                <w:sz w:val="21"/>
                <w:szCs w:val="21"/>
                <w:lang w:val="en-US" w:eastAsia="zh-CN"/>
              </w:rPr>
              <w:t>加油站</w:t>
            </w:r>
            <w:r>
              <w:rPr>
                <w:rFonts w:hint="eastAsia" w:ascii="仿宋" w:hAnsi="仿宋" w:eastAsia="仿宋" w:cs="仿宋"/>
                <w:color w:val="auto"/>
                <w:sz w:val="21"/>
                <w:szCs w:val="21"/>
              </w:rPr>
              <w:t>主要</w:t>
            </w:r>
            <w:r>
              <w:rPr>
                <w:rFonts w:hint="eastAsia" w:ascii="仿宋" w:hAnsi="仿宋" w:eastAsia="仿宋" w:cs="仿宋"/>
                <w:color w:val="auto"/>
                <w:sz w:val="21"/>
                <w:szCs w:val="21"/>
                <w:lang w:eastAsia="zh-CN"/>
              </w:rPr>
              <w:t>储存经营车用</w:t>
            </w:r>
            <w:r>
              <w:rPr>
                <w:rFonts w:hint="eastAsia" w:ascii="仿宋" w:hAnsi="仿宋" w:eastAsia="仿宋" w:cs="仿宋"/>
                <w:color w:val="auto"/>
                <w:sz w:val="21"/>
                <w:szCs w:val="21"/>
              </w:rPr>
              <w:t>0</w:t>
            </w:r>
            <w:r>
              <w:rPr>
                <w:rFonts w:hint="eastAsia" w:ascii="仿宋" w:hAnsi="仿宋" w:eastAsia="仿宋" w:cs="仿宋"/>
                <w:color w:val="auto"/>
                <w:sz w:val="21"/>
                <w:szCs w:val="21"/>
                <w:vertAlign w:val="superscript"/>
              </w:rPr>
              <w:t>#</w:t>
            </w:r>
            <w:r>
              <w:rPr>
                <w:rFonts w:hint="eastAsia" w:ascii="仿宋" w:hAnsi="仿宋" w:eastAsia="仿宋" w:cs="仿宋"/>
                <w:color w:val="auto"/>
                <w:sz w:val="21"/>
                <w:szCs w:val="21"/>
              </w:rPr>
              <w:t>柴油、92</w:t>
            </w:r>
            <w:r>
              <w:rPr>
                <w:rFonts w:hint="eastAsia" w:ascii="仿宋" w:hAnsi="仿宋" w:eastAsia="仿宋" w:cs="仿宋"/>
                <w:color w:val="auto"/>
                <w:sz w:val="21"/>
                <w:szCs w:val="21"/>
                <w:vertAlign w:val="superscript"/>
              </w:rPr>
              <w:t>#</w:t>
            </w:r>
            <w:r>
              <w:rPr>
                <w:rFonts w:hint="eastAsia" w:ascii="仿宋" w:hAnsi="仿宋" w:eastAsia="仿宋" w:cs="仿宋"/>
                <w:color w:val="auto"/>
                <w:sz w:val="21"/>
                <w:szCs w:val="21"/>
              </w:rPr>
              <w:t>汽油。</w:t>
            </w:r>
            <w:r>
              <w:rPr>
                <w:rFonts w:hint="eastAsia" w:ascii="仿宋" w:hAnsi="仿宋" w:eastAsia="仿宋" w:cs="仿宋"/>
                <w:color w:val="auto"/>
                <w:sz w:val="21"/>
                <w:szCs w:val="21"/>
                <w:lang w:eastAsia="zh-CN"/>
              </w:rPr>
              <w:t>毛田加油站于</w:t>
            </w:r>
            <w:r>
              <w:rPr>
                <w:rFonts w:hint="eastAsia" w:ascii="仿宋" w:hAnsi="仿宋" w:eastAsia="仿宋" w:cs="仿宋"/>
                <w:color w:val="auto"/>
                <w:sz w:val="21"/>
                <w:szCs w:val="21"/>
                <w:lang w:val="en-US" w:eastAsia="zh-CN"/>
              </w:rPr>
              <w:t>2019年8月进行了技术改造，将原有单层储罐更换为SF双层储罐。改造完成后委托江西省赣华安全科技有限公司对其现状进行了安全现状评价，经铜仁市应急管理局换发危险化学品经营许可证（证号：黔铜危化经字﹝2021﹞000174号，有效日期至2022年10月13日）。毛田加油站占地面积452.52m</w:t>
            </w:r>
            <w:r>
              <w:rPr>
                <w:rFonts w:hint="eastAsia" w:ascii="仿宋" w:hAnsi="仿宋" w:eastAsia="仿宋" w:cs="仿宋"/>
                <w:color w:val="auto"/>
                <w:sz w:val="21"/>
                <w:szCs w:val="21"/>
                <w:vertAlign w:val="superscript"/>
                <w:lang w:val="en-US" w:eastAsia="zh-CN"/>
              </w:rPr>
              <w:t>2</w:t>
            </w:r>
            <w:r>
              <w:rPr>
                <w:rFonts w:hint="eastAsia" w:ascii="仿宋" w:hAnsi="仿宋" w:eastAsia="仿宋" w:cs="仿宋"/>
                <w:color w:val="auto"/>
                <w:sz w:val="21"/>
                <w:szCs w:val="21"/>
                <w:lang w:val="en-US" w:eastAsia="zh-CN"/>
              </w:rPr>
              <w:t>，</w:t>
            </w:r>
            <w:r>
              <w:rPr>
                <w:rFonts w:hint="eastAsia" w:ascii="仿宋" w:hAnsi="仿宋" w:eastAsia="仿宋" w:cs="仿宋"/>
                <w:color w:val="auto"/>
                <w:kern w:val="0"/>
                <w:sz w:val="21"/>
                <w:szCs w:val="21"/>
                <w:highlight w:val="none"/>
                <w:lang w:bidi="ar"/>
              </w:rPr>
              <w:t>站内</w:t>
            </w:r>
            <w:r>
              <w:rPr>
                <w:rFonts w:hint="eastAsia" w:ascii="仿宋" w:hAnsi="仿宋" w:eastAsia="仿宋" w:cs="仿宋"/>
                <w:color w:val="auto"/>
                <w:kern w:val="0"/>
                <w:sz w:val="21"/>
                <w:szCs w:val="21"/>
                <w:highlight w:val="none"/>
                <w:lang w:val="en-US" w:eastAsia="zh-CN" w:bidi="ar"/>
              </w:rPr>
              <w:t>设置单枪单油品自吸式加油机2台，分别为0</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柴油和92</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汽油加油机；设置储罐区，池内设置2台双层SF储罐（容积均为30m</w:t>
            </w:r>
            <w:r>
              <w:rPr>
                <w:rFonts w:hint="eastAsia" w:ascii="仿宋" w:hAnsi="仿宋" w:eastAsia="仿宋" w:cs="仿宋"/>
                <w:color w:val="auto"/>
                <w:kern w:val="0"/>
                <w:sz w:val="21"/>
                <w:szCs w:val="21"/>
                <w:highlight w:val="none"/>
                <w:vertAlign w:val="superscript"/>
                <w:lang w:val="en-US" w:eastAsia="zh-CN" w:bidi="ar"/>
              </w:rPr>
              <w:t>3</w:t>
            </w:r>
            <w:r>
              <w:rPr>
                <w:rFonts w:hint="eastAsia" w:ascii="仿宋" w:hAnsi="仿宋" w:eastAsia="仿宋" w:cs="仿宋"/>
                <w:color w:val="auto"/>
                <w:kern w:val="0"/>
                <w:sz w:val="21"/>
                <w:szCs w:val="21"/>
                <w:highlight w:val="none"/>
                <w:lang w:val="en-US" w:eastAsia="zh-CN" w:bidi="ar"/>
              </w:rPr>
              <w:t>），加油站总容积为45m</w:t>
            </w:r>
            <w:r>
              <w:rPr>
                <w:rFonts w:hint="eastAsia" w:ascii="仿宋" w:hAnsi="仿宋" w:eastAsia="仿宋" w:cs="仿宋"/>
                <w:color w:val="auto"/>
                <w:kern w:val="0"/>
                <w:sz w:val="21"/>
                <w:szCs w:val="21"/>
                <w:highlight w:val="none"/>
                <w:vertAlign w:val="superscript"/>
                <w:lang w:val="en-US" w:eastAsia="zh-CN" w:bidi="ar"/>
              </w:rPr>
              <w:t>3</w:t>
            </w:r>
            <w:r>
              <w:rPr>
                <w:rFonts w:hint="eastAsia" w:ascii="仿宋" w:hAnsi="仿宋" w:eastAsia="仿宋" w:cs="仿宋"/>
                <w:color w:val="auto"/>
                <w:kern w:val="0"/>
                <w:sz w:val="21"/>
                <w:szCs w:val="21"/>
                <w:highlight w:val="none"/>
                <w:lang w:val="en-US" w:eastAsia="zh-CN" w:bidi="ar"/>
              </w:rPr>
              <w:t>（柴油折半计算）</w:t>
            </w:r>
            <w:r>
              <w:rPr>
                <w:rFonts w:hint="eastAsia" w:ascii="仿宋" w:hAnsi="仿宋" w:eastAsia="仿宋" w:cs="仿宋"/>
                <w:color w:val="auto"/>
                <w:sz w:val="21"/>
                <w:szCs w:val="21"/>
              </w:rPr>
              <w:t>，</w:t>
            </w:r>
            <w:r>
              <w:rPr>
                <w:rFonts w:hint="eastAsia" w:ascii="仿宋" w:hAnsi="仿宋" w:eastAsia="仿宋" w:cs="仿宋"/>
                <w:color w:val="auto"/>
                <w:sz w:val="21"/>
                <w:szCs w:val="21"/>
                <w:lang w:eastAsia="zh-CN"/>
              </w:rPr>
              <w:t>三</w:t>
            </w:r>
            <w:r>
              <w:rPr>
                <w:rFonts w:hint="eastAsia" w:ascii="仿宋" w:hAnsi="仿宋" w:eastAsia="仿宋" w:cs="仿宋"/>
                <w:color w:val="auto"/>
                <w:sz w:val="21"/>
                <w:szCs w:val="21"/>
              </w:rPr>
              <w:t>级</w:t>
            </w:r>
            <w:r>
              <w:rPr>
                <w:rFonts w:hint="eastAsia" w:ascii="仿宋" w:hAnsi="仿宋" w:eastAsia="仿宋" w:cs="仿宋"/>
                <w:color w:val="auto"/>
                <w:sz w:val="21"/>
                <w:szCs w:val="21"/>
                <w:lang w:eastAsia="zh-CN"/>
              </w:rPr>
              <w:t>加油站。</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sz w:val="24"/>
              </w:rPr>
              <w:drawing>
                <wp:inline distT="0" distB="0" distL="114300" distR="114300">
                  <wp:extent cx="5754370" cy="5754370"/>
                  <wp:effectExtent l="0" t="0" r="17780" b="17780"/>
                  <wp:docPr id="48" name="图片 48" descr="微信图片_20220222142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微信图片_20220222142105"/>
                          <pic:cNvPicPr>
                            <a:picLocks noChangeAspect="1"/>
                          </pic:cNvPicPr>
                        </pic:nvPicPr>
                        <pic:blipFill>
                          <a:blip r:embed="rId4"/>
                          <a:stretch>
                            <a:fillRect/>
                          </a:stretch>
                        </pic:blipFill>
                        <pic:spPr>
                          <a:xfrm>
                            <a:off x="0" y="0"/>
                            <a:ext cx="5754370" cy="5754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392"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1450"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650"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4080"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392"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朱继红</w:t>
            </w:r>
          </w:p>
        </w:tc>
        <w:tc>
          <w:tcPr>
            <w:tcW w:w="1450" w:type="dxa"/>
            <w:gridSpan w:val="2"/>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2022.3.8</w:t>
            </w:r>
          </w:p>
        </w:tc>
        <w:tc>
          <w:tcPr>
            <w:tcW w:w="1650" w:type="dxa"/>
            <w:gridSpan w:val="4"/>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宋体"/>
                <w:szCs w:val="21"/>
              </w:rPr>
              <w:t>现场指导</w:t>
            </w:r>
          </w:p>
        </w:tc>
        <w:tc>
          <w:tcPr>
            <w:tcW w:w="4080" w:type="dxa"/>
            <w:gridSpan w:val="5"/>
            <w:vMerge w:val="restart"/>
            <w:noWrap w:val="0"/>
            <w:vAlign w:val="center"/>
          </w:tcPr>
          <w:p>
            <w:pPr>
              <w:spacing w:line="300" w:lineRule="exact"/>
              <w:jc w:val="left"/>
              <w:rPr>
                <w:rFonts w:hint="eastAsia" w:ascii="仿宋" w:hAnsi="仿宋" w:eastAsia="仿宋"/>
                <w:szCs w:val="21"/>
              </w:rPr>
            </w:pPr>
            <w:r>
              <w:rPr>
                <w:rFonts w:hint="eastAsia" w:ascii="仿宋" w:hAnsi="仿宋" w:eastAsia="仿宋"/>
                <w:szCs w:val="21"/>
              </w:rPr>
              <w:t>站内车道行驶半径不能满足要求，且现场导流线标识已模糊，如：站内加油作业区分界线、行车导流线、停车加油车位等</w:t>
            </w:r>
          </w:p>
          <w:p>
            <w:pPr>
              <w:spacing w:line="300" w:lineRule="exact"/>
              <w:jc w:val="left"/>
              <w:rPr>
                <w:rFonts w:hint="eastAsia" w:ascii="仿宋" w:hAnsi="仿宋" w:eastAsia="仿宋"/>
                <w:szCs w:val="21"/>
              </w:rPr>
            </w:pPr>
            <w:r>
              <w:rPr>
                <w:rFonts w:hint="eastAsia" w:ascii="仿宋" w:hAnsi="仿宋" w:eastAsia="仿宋"/>
                <w:szCs w:val="21"/>
              </w:rPr>
              <w:t>消防沙池、灭火器、消防铲等被消防设施被遮挡，不便于取用。</w:t>
            </w:r>
          </w:p>
          <w:p>
            <w:pPr>
              <w:spacing w:line="300" w:lineRule="exact"/>
              <w:jc w:val="left"/>
              <w:rPr>
                <w:rFonts w:hint="eastAsia" w:ascii="仿宋" w:hAnsi="仿宋" w:eastAsia="仿宋"/>
                <w:szCs w:val="21"/>
              </w:rPr>
            </w:pPr>
            <w:r>
              <w:rPr>
                <w:rFonts w:hint="eastAsia" w:ascii="仿宋" w:hAnsi="仿宋" w:eastAsia="仿宋"/>
                <w:szCs w:val="21"/>
              </w:rPr>
              <w:t>静电释放装置位置设置不合理。</w:t>
            </w:r>
          </w:p>
          <w:p>
            <w:pPr>
              <w:spacing w:line="300" w:lineRule="exact"/>
              <w:jc w:val="left"/>
              <w:rPr>
                <w:rFonts w:hint="eastAsia" w:ascii="仿宋" w:hAnsi="仿宋" w:eastAsia="仿宋"/>
                <w:szCs w:val="21"/>
              </w:rPr>
            </w:pPr>
            <w:r>
              <w:rPr>
                <w:rFonts w:hint="eastAsia" w:ascii="仿宋" w:hAnsi="仿宋" w:eastAsia="仿宋"/>
                <w:szCs w:val="21"/>
              </w:rPr>
              <w:t>储罐区金属门、卸油口金属盖未进行防静电连接。</w:t>
            </w:r>
          </w:p>
          <w:p>
            <w:pPr>
              <w:spacing w:line="300" w:lineRule="exact"/>
              <w:jc w:val="left"/>
              <w:rPr>
                <w:rFonts w:hint="eastAsia" w:ascii="仿宋" w:hAnsi="仿宋" w:eastAsia="仿宋"/>
                <w:szCs w:val="21"/>
              </w:rPr>
            </w:pPr>
            <w:r>
              <w:rPr>
                <w:rFonts w:hint="eastAsia" w:ascii="仿宋" w:hAnsi="仿宋" w:eastAsia="仿宋"/>
                <w:szCs w:val="21"/>
              </w:rPr>
              <w:t>加油站东部建筑面向站内一侧设有窗户，且安全距离不足。</w:t>
            </w:r>
          </w:p>
          <w:p>
            <w:pPr>
              <w:spacing w:line="300" w:lineRule="exact"/>
              <w:jc w:val="left"/>
              <w:rPr>
                <w:rFonts w:hint="eastAsia" w:ascii="仿宋" w:hAnsi="仿宋" w:eastAsia="仿宋"/>
                <w:szCs w:val="21"/>
              </w:rPr>
            </w:pPr>
            <w:r>
              <w:rPr>
                <w:rFonts w:hint="eastAsia" w:ascii="仿宋" w:hAnsi="仿宋" w:eastAsia="仿宋"/>
                <w:szCs w:val="21"/>
              </w:rPr>
              <w:t>操作井内未对油品、流向进行标识</w:t>
            </w:r>
          </w:p>
          <w:p>
            <w:pPr>
              <w:spacing w:line="300" w:lineRule="exact"/>
              <w:jc w:val="left"/>
              <w:rPr>
                <w:rFonts w:hint="eastAsia" w:ascii="仿宋" w:hAnsi="仿宋" w:eastAsia="仿宋"/>
                <w:szCs w:val="21"/>
              </w:rPr>
            </w:pPr>
            <w:r>
              <w:rPr>
                <w:rFonts w:hint="eastAsia" w:ascii="仿宋" w:hAnsi="仿宋" w:eastAsia="仿宋"/>
                <w:szCs w:val="21"/>
              </w:rPr>
              <w:t>站房、厕所采用彩钢遮挡雨水，未见其防雷防静电接地</w:t>
            </w:r>
          </w:p>
          <w:p>
            <w:pPr>
              <w:spacing w:line="300" w:lineRule="exact"/>
              <w:jc w:val="left"/>
              <w:rPr>
                <w:rFonts w:hint="eastAsia" w:ascii="仿宋" w:hAnsi="仿宋" w:eastAsia="仿宋"/>
                <w:szCs w:val="21"/>
              </w:rPr>
            </w:pPr>
            <w:r>
              <w:rPr>
                <w:rFonts w:hint="eastAsia" w:ascii="仿宋" w:hAnsi="仿宋" w:eastAsia="仿宋"/>
                <w:szCs w:val="21"/>
              </w:rPr>
              <w:t>储罐区北侧站房距离卸油口2.8m。</w:t>
            </w:r>
          </w:p>
          <w:p>
            <w:pPr>
              <w:spacing w:line="300" w:lineRule="exact"/>
              <w:jc w:val="left"/>
              <w:rPr>
                <w:rFonts w:hint="eastAsia" w:ascii="仿宋" w:hAnsi="仿宋" w:eastAsia="仿宋"/>
                <w:szCs w:val="21"/>
              </w:rPr>
            </w:pPr>
            <w:r>
              <w:rPr>
                <w:rFonts w:hint="eastAsia" w:ascii="仿宋" w:hAnsi="仿宋" w:eastAsia="仿宋"/>
                <w:szCs w:val="21"/>
              </w:rPr>
              <w:t>加油站防撞柱直径不满足最新标准要求，直径低于100mm。</w:t>
            </w:r>
          </w:p>
          <w:p>
            <w:pPr>
              <w:spacing w:line="300" w:lineRule="exact"/>
              <w:jc w:val="left"/>
              <w:rPr>
                <w:rFonts w:hint="eastAsia" w:ascii="仿宋" w:hAnsi="仿宋" w:eastAsia="仿宋"/>
                <w:szCs w:val="21"/>
              </w:rPr>
            </w:pPr>
            <w:r>
              <w:rPr>
                <w:rFonts w:hint="eastAsia" w:ascii="仿宋" w:hAnsi="仿宋" w:eastAsia="仿宋"/>
                <w:szCs w:val="21"/>
              </w:rPr>
              <w:t>防渗观察系统未正常投入使用。</w:t>
            </w:r>
          </w:p>
          <w:p>
            <w:pPr>
              <w:spacing w:line="300" w:lineRule="exact"/>
              <w:jc w:val="left"/>
              <w:rPr>
                <w:rFonts w:hint="eastAsia" w:ascii="仿宋" w:hAnsi="仿宋" w:eastAsia="仿宋"/>
                <w:szCs w:val="21"/>
              </w:rPr>
            </w:pPr>
            <w:r>
              <w:rPr>
                <w:rFonts w:hint="eastAsia" w:ascii="仿宋" w:hAnsi="仿宋" w:eastAsia="仿宋"/>
                <w:szCs w:val="21"/>
              </w:rPr>
              <w:t>液位系统位于房间内部，不便于人员进行观察。</w:t>
            </w:r>
          </w:p>
          <w:p>
            <w:pPr>
              <w:spacing w:line="300" w:lineRule="exact"/>
              <w:jc w:val="left"/>
              <w:rPr>
                <w:rFonts w:hint="eastAsia" w:ascii="仿宋" w:hAnsi="仿宋" w:eastAsia="仿宋"/>
                <w:szCs w:val="21"/>
              </w:rPr>
            </w:pPr>
            <w:r>
              <w:rPr>
                <w:rFonts w:hint="eastAsia" w:ascii="仿宋" w:hAnsi="仿宋" w:eastAsia="仿宋"/>
                <w:szCs w:val="21"/>
              </w:rPr>
              <w:t>靠近卸油口及油罐处的电气线路布置未进行穿管敷设</w:t>
            </w:r>
          </w:p>
          <w:p>
            <w:pPr>
              <w:spacing w:line="300" w:lineRule="exact"/>
              <w:jc w:val="left"/>
              <w:rPr>
                <w:rFonts w:hint="eastAsia" w:ascii="仿宋" w:hAnsi="仿宋" w:eastAsia="仿宋"/>
                <w:szCs w:val="21"/>
              </w:rPr>
            </w:pPr>
            <w:r>
              <w:rPr>
                <w:rFonts w:hint="eastAsia" w:ascii="仿宋" w:hAnsi="仿宋" w:eastAsia="仿宋"/>
                <w:szCs w:val="21"/>
              </w:rPr>
              <w:t>现场未见隔油池正常投入使用。</w:t>
            </w:r>
          </w:p>
          <w:p>
            <w:pPr>
              <w:spacing w:line="300" w:lineRule="exact"/>
              <w:jc w:val="left"/>
              <w:rPr>
                <w:rFonts w:hint="eastAsia" w:ascii="仿宋" w:hAnsi="仿宋" w:eastAsia="仿宋"/>
                <w:szCs w:val="21"/>
              </w:rPr>
            </w:pPr>
            <w:r>
              <w:rPr>
                <w:rFonts w:hint="eastAsia" w:ascii="仿宋" w:hAnsi="仿宋" w:eastAsia="仿宋"/>
                <w:szCs w:val="21"/>
              </w:rPr>
              <w:t>发电机位置位于小房间内部，可燃物门板，无安全管理制度。</w:t>
            </w:r>
          </w:p>
          <w:p>
            <w:pPr>
              <w:spacing w:line="300" w:lineRule="exact"/>
              <w:jc w:val="left"/>
              <w:rPr>
                <w:rFonts w:hint="eastAsia" w:ascii="仿宋" w:hAnsi="仿宋" w:eastAsia="仿宋"/>
                <w:szCs w:val="21"/>
              </w:rPr>
            </w:pPr>
            <w:r>
              <w:rPr>
                <w:rFonts w:hint="eastAsia" w:ascii="仿宋" w:hAnsi="仿宋" w:eastAsia="仿宋"/>
                <w:szCs w:val="21"/>
              </w:rPr>
              <w:t>现场未见加油紧急切断装置</w:t>
            </w:r>
          </w:p>
          <w:p>
            <w:pPr>
              <w:spacing w:line="300" w:lineRule="exact"/>
              <w:jc w:val="left"/>
              <w:rPr>
                <w:rFonts w:hint="eastAsia" w:ascii="仿宋" w:hAnsi="仿宋" w:eastAsia="仿宋" w:cs="Times New Roman"/>
                <w:kern w:val="2"/>
                <w:sz w:val="21"/>
                <w:szCs w:val="21"/>
                <w:lang w:val="en-US" w:eastAsia="zh-CN" w:bidi="ar-SA"/>
              </w:rPr>
            </w:pPr>
            <w:r>
              <w:rPr>
                <w:rFonts w:hint="eastAsia" w:ascii="仿宋" w:hAnsi="仿宋" w:eastAsia="仿宋"/>
                <w:szCs w:val="21"/>
              </w:rPr>
              <w:t>现场未见UPS不间断电源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392"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eastAsia="zh-CN"/>
              </w:rPr>
              <w:t>黄义旭</w:t>
            </w:r>
          </w:p>
        </w:tc>
        <w:tc>
          <w:tcPr>
            <w:tcW w:w="1450" w:type="dxa"/>
            <w:gridSpan w:val="2"/>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2022.3.8</w:t>
            </w:r>
          </w:p>
        </w:tc>
        <w:tc>
          <w:tcPr>
            <w:tcW w:w="1650" w:type="dxa"/>
            <w:gridSpan w:val="4"/>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cs="宋体"/>
                <w:szCs w:val="21"/>
              </w:rPr>
              <w:t>现场资料收集</w:t>
            </w:r>
            <w:r>
              <w:rPr>
                <w:rFonts w:hint="eastAsia" w:ascii="仿宋" w:hAnsi="仿宋" w:eastAsia="仿宋" w:cs="宋体"/>
                <w:szCs w:val="21"/>
                <w:lang w:eastAsia="zh-CN"/>
              </w:rPr>
              <w:t>和</w:t>
            </w:r>
            <w:r>
              <w:rPr>
                <w:rFonts w:hint="eastAsia" w:ascii="仿宋" w:hAnsi="仿宋" w:eastAsia="仿宋" w:cs="Times New Roman"/>
                <w:szCs w:val="21"/>
                <w:lang w:val="en-US" w:eastAsia="zh-CN"/>
              </w:rPr>
              <w:t>现场记录</w:t>
            </w:r>
          </w:p>
        </w:tc>
        <w:tc>
          <w:tcPr>
            <w:tcW w:w="4080" w:type="dxa"/>
            <w:gridSpan w:val="5"/>
            <w:vMerge w:val="continue"/>
            <w:noWrap w:val="0"/>
            <w:vAlign w:val="center"/>
          </w:tcPr>
          <w:p>
            <w:pPr>
              <w:spacing w:line="300" w:lineRule="exact"/>
              <w:jc w:val="center"/>
              <w:rPr>
                <w:rFonts w:hint="eastAsia" w:ascii="仿宋" w:hAnsi="仿宋" w:eastAsia="仿宋" w:cs="Times New Roman"/>
                <w:b/>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76F09"/>
    <w:rsid w:val="0A276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样式 仿宋_GB2312 四号 行距: 1.5 倍行距"/>
    <w:basedOn w:val="1"/>
    <w:qFormat/>
    <w:uiPriority w:val="0"/>
    <w:pPr>
      <w:spacing w:line="360" w:lineRule="auto"/>
      <w:ind w:firstLine="560" w:firstLineChars="200"/>
    </w:pPr>
    <w:rPr>
      <w:rFonts w:ascii="宋体" w:hAnsi="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2022-04-14T07:58:00Z</dcterms:created>
  <dc:creator>雷楠</dc:creator>
  <cp:lastModifiedBy>雷楠</cp:lastModifiedBy>
  <dcterms:modified xsi:type="dcterms:W3CDTF">2022-04-14T07:58:15Z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8B4AA8BB144A4A61A39CD6F957B26A0B</vt:lpwstr>
  </property>
</Properties>
</file>