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重庆市锦麟建材有限公司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重庆市锦麟建材有限公司重庆市万州区高粱镇庙垭村砖瓦用页岩矿（改建）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4</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rPr>
                <w:rFonts w:hint="eastAsia" w:ascii="仿宋" w:hAnsi="仿宋" w:eastAsia="仿宋" w:cs="仿宋"/>
                <w:szCs w:val="21"/>
              </w:rPr>
            </w:pPr>
            <w:r>
              <w:rPr>
                <w:rFonts w:hint="eastAsia" w:ascii="仿宋" w:hAnsi="仿宋" w:eastAsia="仿宋" w:cs="仿宋"/>
                <w:szCs w:val="21"/>
              </w:rPr>
              <w:t xml:space="preserve">  重庆市锦麟建材有限公司成立于2013年04月07日，位于重庆市万州区高粱镇泗华路1号411室，统一社会信用代码：91500101065662339G；经济类型为有限责任公司，法定代表人程其林。经营范围为露天开采砖瓦用页岩；烧结页岩砖生产。销售建筑材料，金属材料，不锈钢制品，汽车配件，机械设备等。</w:t>
            </w:r>
          </w:p>
          <w:p>
            <w:pPr>
              <w:adjustRightInd w:val="0"/>
              <w:snapToGrid w:val="0"/>
              <w:spacing w:line="276" w:lineRule="auto"/>
              <w:rPr>
                <w:rFonts w:hint="eastAsia" w:ascii="仿宋" w:hAnsi="仿宋" w:eastAsia="仿宋" w:cs="仿宋"/>
                <w:szCs w:val="21"/>
              </w:rPr>
            </w:pPr>
            <w:r>
              <w:rPr>
                <w:rFonts w:hint="eastAsia" w:ascii="仿宋" w:hAnsi="仿宋" w:eastAsia="仿宋" w:cs="仿宋"/>
                <w:szCs w:val="21"/>
              </w:rPr>
              <w:t>重庆市锦麟建材有限公司所属“重庆市万州区高粱镇庙垭村砖瓦用页岩矿”位于重庆市万州区高粱镇，矿山原采矿许可证证号：C5001012016097130143078，有效期自2018年9月5日至2022年1月5日，矿区由13个拐点坐标圈定，面积0.0394km</w:t>
            </w:r>
            <w:r>
              <w:rPr>
                <w:rFonts w:hint="eastAsia" w:ascii="仿宋" w:hAnsi="仿宋" w:eastAsia="仿宋" w:cs="仿宋"/>
                <w:szCs w:val="21"/>
                <w:vertAlign w:val="superscript"/>
              </w:rPr>
              <w:t>2</w:t>
            </w:r>
            <w:r>
              <w:rPr>
                <w:rFonts w:hint="eastAsia" w:ascii="仿宋" w:hAnsi="仿宋" w:eastAsia="仿宋" w:cs="仿宋"/>
                <w:szCs w:val="21"/>
              </w:rPr>
              <w:t>，开采标高为+470～+408m，开采方式为露天开采，开采矿种为砖瓦用页岩，生产规模为20万吨/年。</w:t>
            </w:r>
          </w:p>
          <w:p>
            <w:pPr>
              <w:adjustRightInd w:val="0"/>
              <w:snapToGrid w:val="0"/>
              <w:spacing w:line="276" w:lineRule="auto"/>
              <w:rPr>
                <w:rFonts w:hint="eastAsia" w:ascii="仿宋" w:hAnsi="仿宋" w:eastAsia="仿宋" w:cs="仿宋"/>
                <w:szCs w:val="21"/>
              </w:rPr>
            </w:pPr>
            <w:r>
              <w:rPr>
                <w:rFonts w:hint="eastAsia" w:ascii="仿宋" w:hAnsi="仿宋" w:eastAsia="仿宋" w:cs="仿宋"/>
                <w:szCs w:val="21"/>
              </w:rPr>
              <w:t>由于该地区页岩砖市场销售行情较以往大幅缩减，企业根据实际生产和发展情况，特向重庆市万州区规划和自然资源局申请缩小矿区范围和降低生产规模。为此，企业已委托重庆新锐百川工程设计有限公司编制了《重庆市万州区高粱镇庙垭村砖瓦用页岩矿矿产资源储量核实报告（缩小矿区范围）》和《重庆市万州区高粱镇庙垭村砖瓦用页岩矿矿产资源开发利用方案(缩小矿区范围)》。现已取得新采矿许可证，证号：C5001012016097130143078，有效期自2022年1月5日至2028年2月4日，矿区由10个拐点坐标圈定，矿区面积0.0180km</w:t>
            </w:r>
            <w:r>
              <w:rPr>
                <w:rFonts w:hint="eastAsia" w:ascii="仿宋" w:hAnsi="仿宋" w:eastAsia="仿宋" w:cs="仿宋"/>
                <w:szCs w:val="21"/>
                <w:vertAlign w:val="superscript"/>
              </w:rPr>
              <w:t>2</w:t>
            </w:r>
            <w:r>
              <w:rPr>
                <w:rFonts w:hint="eastAsia" w:ascii="仿宋" w:hAnsi="仿宋" w:eastAsia="仿宋" w:cs="仿宋"/>
                <w:szCs w:val="21"/>
              </w:rPr>
              <w:t>，开采标高为+463～+408m，开采方式为露天开采，开采矿种为砖瓦用页岩，生产规模为6万吨/年。</w:t>
            </w:r>
          </w:p>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Arial"/>
                <w:szCs w:val="28"/>
              </w:rPr>
              <w:t>根据《建设项目安全设施“三同时”监督管理办法》（国家安全生产监督管理总局令第36号）及《重庆市应急管理局关于进一步规范全市非煤矿山安全生产行政许可工作的通知》（渝安监发〔2017〕49号）等有关规定，矿山建设项目应按改建性质履行建设项目安全设施 “三同时”程序。</w:t>
            </w:r>
          </w:p>
          <w:p>
            <w:pPr>
              <w:pStyle w:val="2"/>
            </w:pPr>
          </w:p>
          <w:p>
            <w:pPr>
              <w:pStyle w:val="2"/>
            </w:pPr>
            <w:bookmarkStart w:id="0" w:name="_GoBack"/>
            <w:r>
              <w:drawing>
                <wp:inline distT="0" distB="0" distL="114300" distR="114300">
                  <wp:extent cx="3590925" cy="2675255"/>
                  <wp:effectExtent l="0" t="0" r="9525"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590925" cy="2675255"/>
                          </a:xfrm>
                          <a:prstGeom prst="rect">
                            <a:avLst/>
                          </a:prstGeom>
                          <a:noFill/>
                          <a:ln>
                            <a:noFill/>
                          </a:ln>
                        </pic:spPr>
                      </pic:pic>
                    </a:graphicData>
                  </a:graphic>
                </wp:inline>
              </w:drawing>
            </w:r>
            <w:bookmarkEnd w:id="0"/>
          </w:p>
          <w:p>
            <w:pPr>
              <w:adjustRightInd w:val="0"/>
              <w:snapToGrid w:val="0"/>
              <w:spacing w:line="360" w:lineRule="auto"/>
              <w:jc w:val="center"/>
              <w:rPr>
                <w:rFonts w:eastAsia="Times New Roman"/>
                <w:snapToGrid w:val="0"/>
                <w:color w:val="000000"/>
                <w:w w:val="0"/>
                <w:kern w:val="0"/>
                <w:sz w:val="0"/>
                <w:szCs w:val="0"/>
                <w:u w:val="none" w:color="000000"/>
                <w:shd w:val="clear" w:color="000000" w:fill="000000"/>
              </w:rPr>
            </w:pPr>
          </w:p>
          <w:p>
            <w:pPr>
              <w:adjustRightInd w:val="0"/>
              <w:snapToGrid w:val="0"/>
              <w:spacing w:line="360" w:lineRule="auto"/>
              <w:jc w:val="center"/>
              <w:rPr>
                <w:rFonts w:eastAsia="Times New Roman"/>
                <w:snapToGrid w:val="0"/>
                <w:color w:val="000000"/>
                <w:w w:val="0"/>
                <w:kern w:val="0"/>
                <w:sz w:val="0"/>
                <w:szCs w:val="0"/>
                <w:u w:val="none" w:color="000000"/>
                <w:shd w:val="clear" w:color="000000" w:fill="000000"/>
              </w:rPr>
            </w:pPr>
          </w:p>
          <w:p>
            <w:pPr>
              <w:adjustRightInd w:val="0"/>
              <w:snapToGrid w:val="0"/>
              <w:spacing w:line="360" w:lineRule="auto"/>
              <w:jc w:val="center"/>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3</w:t>
            </w:r>
            <w:r>
              <w:rPr>
                <w:rFonts w:hint="eastAsia" w:cs="仿宋"/>
                <w:spacing w:val="-14"/>
                <w:sz w:val="21"/>
                <w:szCs w:val="21"/>
                <w:lang w:eastAsia="zh-CN"/>
              </w:rPr>
              <w:t>月</w:t>
            </w:r>
            <w:r>
              <w:rPr>
                <w:rFonts w:cs="仿宋"/>
                <w:spacing w:val="-14"/>
                <w:sz w:val="21"/>
                <w:szCs w:val="21"/>
                <w:lang w:eastAsia="zh-CN"/>
              </w:rPr>
              <w:t>25</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3</w:t>
            </w:r>
            <w:r>
              <w:rPr>
                <w:rFonts w:hint="eastAsia" w:ascii="仿宋" w:hAnsi="仿宋" w:eastAsia="仿宋" w:cs="仿宋"/>
                <w:spacing w:val="-14"/>
                <w:szCs w:val="21"/>
              </w:rPr>
              <w:t>月</w:t>
            </w:r>
            <w:r>
              <w:rPr>
                <w:rFonts w:ascii="仿宋" w:hAnsi="仿宋" w:eastAsia="仿宋" w:cs="仿宋"/>
                <w:spacing w:val="-14"/>
                <w:szCs w:val="21"/>
              </w:rPr>
              <w:t>25</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2A773D5D"/>
    <w:rsid w:val="0FA85994"/>
    <w:rsid w:val="2A773D5D"/>
    <w:rsid w:val="6C642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1074</Words>
  <Characters>1339</Characters>
  <Lines>0</Lines>
  <Paragraphs>0</Paragraphs>
  <TotalTime>0</TotalTime>
  <ScaleCrop>false</ScaleCrop>
  <LinksUpToDate>false</LinksUpToDate>
  <CharactersWithSpaces>1360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2022-05-10T06:45:00Z</dcterms:created>
  <dc:creator>雷楠</dc:creator>
  <cp:lastModifiedBy>雷楠</cp:lastModifiedBy>
  <dcterms:modified xsi:type="dcterms:W3CDTF">2022-08-23T02:21:29Z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E52E952230D64DDFBCAA16E6C75251CE</vt:lpwstr>
  </property>
</Properties>
</file>