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重庆两江新区鱼复工业园建设投资有限公司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疏港东立交D508晏鱼线迁改工程安全评价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机械；冶金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val="en-US" w:eastAsia="zh-CN"/>
              </w:rPr>
              <w:t>本次迁改线路水平长约为454.83m，实际长度为477.3m。一般地段直管段、冷弯弯管管道规格采用D508×8.8直缝埋弧焊钢管；重要穿越地段、热煨弯管母管用管采用D508×10.0直缝埋弧焊钢管，管道钢级均为L360M。制管标准为《石油天然气工业管线输送系统用钢管》GB/T 9711-2017。管道设计压力为4.5MPa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3019425" cy="22764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9425" cy="227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A544BCD"/>
    <w:rsid w:val="0A54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482</Words>
  <Characters>742</Characters>
  <Lines>0</Lines>
  <Paragraphs>0</Paragraphs>
  <TotalTime>0</TotalTime>
  <ScaleCrop>false</ScaleCrop>
  <LinksUpToDate>false</LinksUpToDate>
  <CharactersWithSpaces>770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2023-05-24T02:38:00Z</dcterms:created>
  <dc:creator>雷楠</dc:creator>
  <cp:lastModifiedBy>雷楠</cp:lastModifiedBy>
  <dcterms:modified xsi:type="dcterms:W3CDTF">2023-05-24T02:38:24Z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20992A4F4A664E2BA4BE4340D5F70D90</vt:lpwstr>
  </property>
</Properties>
</file>