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bookmarkStart w:id="0" w:name="_GoBack"/>
      <w:bookmarkEnd w:id="0"/>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460" w:lineRule="exact"/>
              <w:jc w:val="center"/>
              <w:rPr>
                <w:rFonts w:ascii="仿宋" w:hAnsi="仿宋" w:eastAsia="仿宋"/>
                <w:szCs w:val="21"/>
              </w:rPr>
            </w:pPr>
            <w:r>
              <w:rPr>
                <w:rFonts w:hint="eastAsia" w:ascii="仿宋" w:hAnsi="仿宋" w:eastAsia="仿宋"/>
                <w:bCs/>
                <w:szCs w:val="21"/>
              </w:rPr>
              <w:t>康乐县锦灿烟花爆竹经销有限公司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ind w:right="159" w:firstLine="1050" w:firstLineChars="500"/>
              <w:rPr>
                <w:rFonts w:ascii="仿宋" w:hAnsi="仿宋" w:eastAsia="仿宋"/>
                <w:bCs/>
                <w:szCs w:val="21"/>
              </w:rPr>
            </w:pPr>
            <w:r>
              <w:rPr>
                <w:rFonts w:hint="eastAsia" w:ascii="仿宋" w:hAnsi="仿宋" w:eastAsia="仿宋"/>
                <w:bCs/>
                <w:szCs w:val="21"/>
              </w:rPr>
              <w:t>康乐县锦灿烟花爆竹经销有限公司烟花爆竹储存仓库安全现状评价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MS Mincho" w:hAnsi="MS Mincho" w:eastAsia="MS Mincho" w:cs="MS Mincho"/>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烟花爆竹储存业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46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460" w:lineRule="exact"/>
              <w:jc w:val="center"/>
              <w:rPr>
                <w:rFonts w:ascii="仿宋" w:hAnsi="仿宋" w:eastAsia="仿宋"/>
                <w:szCs w:val="21"/>
              </w:rPr>
            </w:pPr>
            <w:r>
              <w:rPr>
                <w:rFonts w:hint="eastAsia" w:ascii="仿宋" w:hAnsi="仿宋" w:eastAsia="仿宋"/>
                <w:szCs w:val="21"/>
              </w:rPr>
              <w:t>蔡治勇</w:t>
            </w:r>
          </w:p>
        </w:tc>
        <w:tc>
          <w:tcPr>
            <w:tcW w:w="2875" w:type="dxa"/>
            <w:gridSpan w:val="3"/>
            <w:vAlign w:val="center"/>
          </w:tcPr>
          <w:p>
            <w:pPr>
              <w:spacing w:line="46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460" w:lineRule="exact"/>
              <w:jc w:val="center"/>
              <w:rPr>
                <w:rFonts w:hint="default" w:ascii="仿宋" w:hAnsi="仿宋" w:eastAsia="仿宋"/>
                <w:szCs w:val="21"/>
                <w:lang w:val="en-US" w:eastAsia="zh-CN"/>
              </w:rPr>
            </w:pPr>
            <w:r>
              <w:rPr>
                <w:rFonts w:hint="eastAsia" w:ascii="仿宋" w:hAnsi="仿宋" w:eastAsia="仿宋"/>
                <w:szCs w:val="21"/>
                <w:lang w:val="en-US" w:eastAsia="zh-CN"/>
              </w:rPr>
              <w:t>赵长军</w:t>
            </w:r>
          </w:p>
        </w:tc>
        <w:tc>
          <w:tcPr>
            <w:tcW w:w="2073" w:type="dxa"/>
            <w:gridSpan w:val="4"/>
            <w:vAlign w:val="center"/>
          </w:tcPr>
          <w:p>
            <w:pPr>
              <w:spacing w:line="460" w:lineRule="exact"/>
              <w:jc w:val="center"/>
              <w:rPr>
                <w:rFonts w:ascii="仿宋" w:hAnsi="仿宋" w:eastAsia="仿宋"/>
                <w:szCs w:val="21"/>
              </w:rPr>
            </w:pPr>
            <w:r>
              <w:rPr>
                <w:rFonts w:hint="eastAsia" w:ascii="仿宋" w:hAnsi="仿宋" w:eastAsia="仿宋"/>
                <w:szCs w:val="21"/>
              </w:rPr>
              <w:t>2023年3月</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cs="宋体"/>
                <w:kern w:val="0"/>
                <w:szCs w:val="21"/>
                <w:lang w:val="en-US" w:eastAsia="zh-CN"/>
              </w:rPr>
              <w:t>段美满</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电气</w:t>
            </w:r>
          </w:p>
        </w:tc>
        <w:tc>
          <w:tcPr>
            <w:tcW w:w="2661" w:type="dxa"/>
            <w:gridSpan w:val="5"/>
            <w:vAlign w:val="center"/>
          </w:tcPr>
          <w:p>
            <w:pPr>
              <w:spacing w:line="460" w:lineRule="exact"/>
              <w:jc w:val="center"/>
              <w:rPr>
                <w:rFonts w:ascii="仿宋" w:hAnsi="仿宋" w:eastAsia="仿宋"/>
                <w:szCs w:val="21"/>
              </w:rPr>
            </w:pPr>
            <w:r>
              <w:rPr>
                <w:rFonts w:hint="eastAsia" w:ascii="仿宋" w:hAnsi="仿宋" w:eastAsia="仿宋"/>
                <w:szCs w:val="21"/>
              </w:rPr>
              <w:t>1700000000201198</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ascii="仿宋" w:hAnsi="仿宋" w:eastAsia="仿宋"/>
                <w:b/>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常鹏程</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ascii="仿宋" w:hAnsi="仿宋" w:eastAsia="仿宋"/>
                <w:szCs w:val="21"/>
              </w:rPr>
              <w:t>S011053000110192002926</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szCs w:val="21"/>
              </w:rPr>
            </w:pPr>
            <w:r>
              <w:rPr>
                <w:rFonts w:hint="eastAsia" w:ascii="仿宋" w:hAnsi="仿宋" w:eastAsia="仿宋"/>
                <w:szCs w:val="21"/>
              </w:rPr>
              <w:t>S011053000110192003004</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赵长军</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化工工艺</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ascii="仿宋" w:hAnsi="仿宋" w:eastAsia="仿宋" w:cs="宋体"/>
                <w:kern w:val="0"/>
                <w:szCs w:val="21"/>
              </w:rPr>
              <w:t>S011041000110193001979</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段美满</w:t>
            </w:r>
          </w:p>
        </w:tc>
        <w:tc>
          <w:tcPr>
            <w:tcW w:w="1586" w:type="dxa"/>
            <w:gridSpan w:val="2"/>
            <w:vAlign w:val="center"/>
          </w:tcPr>
          <w:p>
            <w:pPr>
              <w:widowControl/>
              <w:adjustRightInd w:val="0"/>
              <w:snapToGrid w:val="0"/>
              <w:spacing w:line="460" w:lineRule="exact"/>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爆炸技术</w:t>
            </w:r>
          </w:p>
        </w:tc>
        <w:tc>
          <w:tcPr>
            <w:tcW w:w="2661" w:type="dxa"/>
            <w:gridSpan w:val="5"/>
            <w:vAlign w:val="center"/>
          </w:tcPr>
          <w:p>
            <w:pPr>
              <w:widowControl/>
              <w:adjustRightInd w:val="0"/>
              <w:snapToGrid w:val="0"/>
              <w:spacing w:line="460" w:lineRule="exact"/>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1600000000200420</w:t>
            </w:r>
          </w:p>
        </w:tc>
        <w:tc>
          <w:tcPr>
            <w:tcW w:w="2662" w:type="dxa"/>
            <w:gridSpan w:val="5"/>
            <w:vAlign w:val="center"/>
          </w:tcPr>
          <w:p>
            <w:pPr>
              <w:widowControl/>
              <w:adjustRightInd w:val="0"/>
              <w:snapToGrid w:val="0"/>
              <w:spacing w:line="460" w:lineRule="exact"/>
              <w:jc w:val="center"/>
              <w:rPr>
                <w:rFonts w:hint="eastAsia" w:ascii="仿宋" w:hAnsi="仿宋" w:eastAsia="仿宋" w:cs="宋体"/>
                <w:kern w:val="0"/>
                <w:szCs w:val="21"/>
              </w:rPr>
            </w:pPr>
          </w:p>
        </w:tc>
        <w:tc>
          <w:tcPr>
            <w:tcW w:w="1663" w:type="dxa"/>
            <w:vAlign w:val="center"/>
          </w:tcPr>
          <w:p>
            <w:pPr>
              <w:adjustRightInd w:val="0"/>
              <w:snapToGrid w:val="0"/>
              <w:jc w:val="center"/>
              <w:rPr>
                <w:rFonts w:hint="eastAsia"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安全</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390" w:type="dxa"/>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spacing w:line="460" w:lineRule="exact"/>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b/>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8"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rPr>
                <w:rFonts w:hint="eastAsia" w:ascii="仿宋" w:hAnsi="仿宋" w:eastAsia="仿宋"/>
                <w:szCs w:val="21"/>
              </w:rPr>
            </w:pPr>
            <w:r>
              <w:rPr>
                <w:rFonts w:hint="eastAsia" w:ascii="仿宋" w:hAnsi="仿宋" w:eastAsia="仿宋"/>
                <w:szCs w:val="21"/>
              </w:rPr>
              <w:t>康乐县锦灿烟花爆竹经销有限公司原名康乐县锦灿烟花爆竹经营部，2017年3月，为了便于企业的管理，更名为康乐县锦灿烟花爆竹经销有限公司。康乐县锦灿烟花爆竹经营部始成立于2009年，企业住所位于临夏州康乐县城南街，现公司注册地址为甘肃省临夏州康乐县虎关乡吴平村法门四社，注册资本壹佰万元整，营业执照统一社会信用代码：91622922MA72C9KF17，发法代表人为马吉仓，现有员工5人，其中安全管理人员2名。经营范围：组合烟花类（C、D）级、架子烟花类（C）级、玩具类（C、D）级、吐珠类（C）级、升空类（C）级、旋转类（C、D）级、喷花类（C、D）级、爆竹类（C）级，有效期：2020年6月6日至2023年6月5日。</w:t>
            </w:r>
          </w:p>
          <w:p>
            <w:pPr>
              <w:adjustRightInd w:val="0"/>
              <w:snapToGrid w:val="0"/>
              <w:rPr>
                <w:rFonts w:ascii="仿宋" w:hAnsi="仿宋" w:eastAsia="仿宋"/>
                <w:szCs w:val="21"/>
              </w:rPr>
            </w:pPr>
            <w:r>
              <w:rPr>
                <w:rFonts w:hint="eastAsia" w:ascii="仿宋" w:hAnsi="仿宋" w:eastAsia="仿宋"/>
                <w:szCs w:val="21"/>
              </w:rPr>
              <w:t>康乐县锦灿烟花爆竹经销有限公司已取得由临夏回族自治州应急管理局颁发的烟花爆竹经营（批发）许可证，编号（甘）PF〔2020〕00032，许可证有效期为2020年6月6日至2023年6月5日。</w:t>
            </w:r>
          </w:p>
          <w:p>
            <w:pPr>
              <w:pStyle w:val="2"/>
              <w:rPr>
                <w:rFonts w:ascii="仿宋" w:hAnsi="仿宋" w:eastAsia="仿宋"/>
                <w:szCs w:val="21"/>
              </w:rPr>
            </w:pPr>
            <w:r>
              <w:rPr>
                <w:rFonts w:hint="eastAsia" w:ascii="仿宋" w:hAnsi="仿宋" w:eastAsia="仿宋"/>
                <w:szCs w:val="21"/>
              </w:rPr>
              <w:t>康乐县锦灿烟花爆竹经销有限公司1栋烟花爆竹储存仓库的危险等级均为1.3级，仓库储存药量为5t，面积为624m</w:t>
            </w:r>
            <w:r>
              <w:rPr>
                <w:rFonts w:hint="eastAsia" w:ascii="仿宋" w:hAnsi="仿宋" w:eastAsia="仿宋"/>
                <w:szCs w:val="21"/>
                <w:vertAlign w:val="superscript"/>
              </w:rPr>
              <w:t>2</w:t>
            </w:r>
            <w:r>
              <w:rPr>
                <w:rFonts w:hint="eastAsia" w:ascii="仿宋" w:hAnsi="仿宋" w:eastAsia="仿宋"/>
                <w:szCs w:val="21"/>
              </w:rPr>
              <w:t>。</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rPr>
                <w:rFonts w:hint="eastAsia" w:ascii="仿宋" w:hAnsi="仿宋" w:eastAsia="仿宋" w:cs="宋体"/>
                <w:szCs w:val="21"/>
              </w:rPr>
            </w:pPr>
          </w:p>
          <w:p>
            <w:pPr>
              <w:pStyle w:val="2"/>
              <w:rPr>
                <w:rFonts w:hint="eastAsia" w:ascii="仿宋" w:hAnsi="仿宋" w:eastAsia="仿宋" w:cs="宋体"/>
                <w:szCs w:val="21"/>
              </w:rPr>
            </w:pPr>
            <w:r>
              <w:drawing>
                <wp:inline distT="0" distB="0" distL="114300" distR="114300">
                  <wp:extent cx="3990975" cy="22383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90975" cy="2238375"/>
                          </a:xfrm>
                          <a:prstGeom prst="rect">
                            <a:avLst/>
                          </a:prstGeom>
                          <a:noFill/>
                          <a:ln>
                            <a:noFill/>
                          </a:ln>
                        </pic:spPr>
                      </pic:pic>
                    </a:graphicData>
                  </a:graphic>
                </wp:inline>
              </w:drawing>
            </w:r>
          </w:p>
          <w:p>
            <w:pPr>
              <w:pStyle w:val="2"/>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460" w:lineRule="exact"/>
              <w:jc w:val="center"/>
              <w:rPr>
                <w:rFonts w:ascii="仿宋" w:hAnsi="仿宋" w:eastAsia="仿宋"/>
                <w:szCs w:val="21"/>
              </w:rPr>
            </w:pPr>
            <w:r>
              <w:rPr>
                <w:rFonts w:hint="eastAsia" w:ascii="仿宋" w:hAnsi="仿宋" w:eastAsia="仿宋"/>
                <w:szCs w:val="21"/>
              </w:rPr>
              <w:t>白建明</w:t>
            </w:r>
          </w:p>
        </w:tc>
        <w:tc>
          <w:tcPr>
            <w:tcW w:w="2622" w:type="dxa"/>
            <w:gridSpan w:val="4"/>
            <w:vMerge w:val="restart"/>
            <w:vAlign w:val="center"/>
          </w:tcPr>
          <w:p>
            <w:pPr>
              <w:spacing w:line="460" w:lineRule="exact"/>
              <w:jc w:val="center"/>
              <w:rPr>
                <w:rFonts w:hint="eastAsia" w:ascii="仿宋" w:hAnsi="仿宋" w:eastAsia="仿宋"/>
                <w:szCs w:val="21"/>
                <w:lang w:eastAsia="zh-CN"/>
              </w:rPr>
            </w:pPr>
            <w:r>
              <w:rPr>
                <w:rFonts w:ascii="仿宋" w:hAnsi="仿宋" w:eastAsia="仿宋"/>
                <w:szCs w:val="21"/>
              </w:rPr>
              <w:t>202</w:t>
            </w:r>
            <w:r>
              <w:rPr>
                <w:rFonts w:hint="eastAsia" w:ascii="仿宋" w:hAnsi="仿宋" w:eastAsia="仿宋"/>
                <w:szCs w:val="21"/>
              </w:rPr>
              <w:t>3</w:t>
            </w:r>
            <w:r>
              <w:rPr>
                <w:rFonts w:ascii="仿宋" w:hAnsi="仿宋" w:eastAsia="仿宋"/>
                <w:szCs w:val="21"/>
              </w:rPr>
              <w:t>.</w:t>
            </w:r>
            <w:r>
              <w:rPr>
                <w:rFonts w:hint="eastAsia" w:ascii="仿宋" w:hAnsi="仿宋" w:eastAsia="仿宋"/>
                <w:szCs w:val="21"/>
                <w:lang w:val="en-US" w:eastAsia="zh-CN"/>
              </w:rPr>
              <w:t>3</w:t>
            </w:r>
            <w:r>
              <w:rPr>
                <w:rFonts w:ascii="仿宋" w:hAnsi="仿宋" w:eastAsia="仿宋"/>
                <w:szCs w:val="21"/>
              </w:rPr>
              <w:t>.</w:t>
            </w:r>
            <w:r>
              <w:rPr>
                <w:rFonts w:hint="eastAsia" w:ascii="仿宋" w:hAnsi="仿宋" w:eastAsia="仿宋"/>
                <w:szCs w:val="21"/>
              </w:rPr>
              <w:t>2</w:t>
            </w:r>
            <w:r>
              <w:rPr>
                <w:rFonts w:hint="eastAsia" w:ascii="仿宋" w:hAnsi="仿宋" w:eastAsia="仿宋"/>
                <w:szCs w:val="21"/>
                <w:lang w:val="en-US" w:eastAsia="zh-CN"/>
              </w:rPr>
              <w:t>9</w:t>
            </w:r>
          </w:p>
        </w:tc>
        <w:tc>
          <w:tcPr>
            <w:tcW w:w="1226" w:type="dxa"/>
            <w:gridSpan w:val="2"/>
            <w:vMerge w:val="restart"/>
            <w:vAlign w:val="center"/>
          </w:tcPr>
          <w:p>
            <w:pPr>
              <w:spacing w:line="460" w:lineRule="exact"/>
              <w:jc w:val="center"/>
              <w:rPr>
                <w:rFonts w:ascii="仿宋" w:hAnsi="仿宋" w:eastAsia="仿宋"/>
                <w:szCs w:val="21"/>
              </w:rPr>
            </w:pPr>
            <w:r>
              <w:rPr>
                <w:rFonts w:hint="eastAsia" w:ascii="仿宋" w:hAnsi="仿宋" w:eastAsia="仿宋"/>
                <w:szCs w:val="21"/>
              </w:rPr>
              <w:t>库房周边</w:t>
            </w:r>
            <w:r>
              <w:rPr>
                <w:rFonts w:ascii="仿宋" w:hAnsi="仿宋" w:eastAsia="仿宋"/>
                <w:szCs w:val="21"/>
              </w:rPr>
              <w:t>情况</w:t>
            </w:r>
            <w:r>
              <w:rPr>
                <w:rFonts w:hint="eastAsia" w:ascii="仿宋" w:hAnsi="仿宋" w:eastAsia="仿宋"/>
                <w:szCs w:val="21"/>
              </w:rPr>
              <w:t>，安全及消防设施，安全管理情况等</w:t>
            </w:r>
          </w:p>
        </w:tc>
        <w:tc>
          <w:tcPr>
            <w:tcW w:w="3138" w:type="dxa"/>
            <w:gridSpan w:val="5"/>
            <w:vMerge w:val="restart"/>
            <w:vAlign w:val="center"/>
          </w:tcPr>
          <w:p>
            <w:pPr>
              <w:spacing w:line="460" w:lineRule="exact"/>
              <w:ind w:right="159"/>
              <w:jc w:val="left"/>
              <w:rPr>
                <w:rFonts w:ascii="仿宋" w:hAnsi="仿宋" w:eastAsia="仿宋"/>
                <w:szCs w:val="21"/>
              </w:rPr>
            </w:pPr>
            <w:r>
              <w:rPr>
                <w:rFonts w:hint="eastAsia" w:ascii="仿宋" w:hAnsi="仿宋" w:eastAsia="仿宋"/>
                <w:szCs w:val="21"/>
              </w:rPr>
              <w:t>1、仓库内安全警示标志未粘贴牢固；</w:t>
            </w:r>
          </w:p>
          <w:p>
            <w:pPr>
              <w:pStyle w:val="2"/>
              <w:rPr>
                <w:rFonts w:ascii="仿宋" w:hAnsi="仿宋" w:eastAsia="仿宋"/>
                <w:szCs w:val="21"/>
              </w:rPr>
            </w:pPr>
            <w:r>
              <w:rPr>
                <w:rFonts w:hint="eastAsia" w:ascii="仿宋" w:hAnsi="仿宋" w:eastAsia="仿宋"/>
                <w:szCs w:val="21"/>
              </w:rPr>
              <w:t>2、未制定岗位安全生产责任制；</w:t>
            </w:r>
          </w:p>
          <w:p>
            <w:pPr>
              <w:pStyle w:val="2"/>
              <w:rPr>
                <w:rFonts w:ascii="仿宋" w:hAnsi="仿宋" w:eastAsia="仿宋"/>
                <w:szCs w:val="21"/>
              </w:rPr>
            </w:pPr>
            <w:r>
              <w:rPr>
                <w:rFonts w:hint="eastAsia" w:ascii="仿宋" w:hAnsi="仿宋" w:eastAsia="仿宋"/>
                <w:szCs w:val="21"/>
              </w:rPr>
              <w:t>3、烟花爆竹作业人员未取得烟花爆竹作业证；</w:t>
            </w:r>
          </w:p>
          <w:p>
            <w:pPr>
              <w:pStyle w:val="2"/>
              <w:rPr>
                <w:rFonts w:ascii="仿宋" w:hAnsi="仿宋" w:eastAsia="仿宋"/>
                <w:szCs w:val="21"/>
              </w:rPr>
            </w:pPr>
            <w:r>
              <w:rPr>
                <w:rFonts w:hint="eastAsia" w:ascii="仿宋" w:hAnsi="仿宋" w:eastAsia="仿宋"/>
                <w:szCs w:val="21"/>
              </w:rPr>
              <w:t>4、库内堆垛距内墙壁划线模糊。</w:t>
            </w:r>
          </w:p>
          <w:p>
            <w:pPr>
              <w:pStyle w:val="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b/>
                <w:szCs w:val="21"/>
              </w:rPr>
            </w:pPr>
          </w:p>
        </w:tc>
        <w:tc>
          <w:tcPr>
            <w:tcW w:w="1586" w:type="dxa"/>
            <w:gridSpan w:val="2"/>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lang w:val="en-US" w:eastAsia="zh-CN"/>
              </w:rPr>
              <w:t>赵长军</w:t>
            </w:r>
          </w:p>
        </w:tc>
        <w:tc>
          <w:tcPr>
            <w:tcW w:w="2622" w:type="dxa"/>
            <w:gridSpan w:val="4"/>
            <w:vMerge w:val="continue"/>
            <w:vAlign w:val="center"/>
          </w:tcPr>
          <w:p>
            <w:pPr>
              <w:spacing w:line="300" w:lineRule="exact"/>
              <w:jc w:val="center"/>
              <w:rPr>
                <w:rFonts w:ascii="仿宋" w:hAnsi="仿宋" w:eastAsia="仿宋"/>
                <w:b/>
                <w:szCs w:val="21"/>
              </w:rPr>
            </w:pPr>
          </w:p>
        </w:tc>
        <w:tc>
          <w:tcPr>
            <w:tcW w:w="1226" w:type="dxa"/>
            <w:gridSpan w:val="2"/>
            <w:vMerge w:val="continue"/>
            <w:vAlign w:val="center"/>
          </w:tcPr>
          <w:p>
            <w:pPr>
              <w:spacing w:line="300" w:lineRule="exact"/>
              <w:jc w:val="center"/>
              <w:rPr>
                <w:rFonts w:ascii="仿宋" w:hAnsi="仿宋" w:eastAsia="仿宋"/>
                <w:b/>
                <w:szCs w:val="21"/>
              </w:rPr>
            </w:pPr>
          </w:p>
        </w:tc>
        <w:tc>
          <w:tcPr>
            <w:tcW w:w="3138" w:type="dxa"/>
            <w:gridSpan w:val="5"/>
            <w:vMerge w:val="continue"/>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2FC76B1"/>
    <w:rsid w:val="52FC7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endnote text"/>
    <w:basedOn w:val="1"/>
    <w:unhideWhenUsed/>
    <w:qFormat/>
    <w:uiPriority w:val="0"/>
    <w:pPr>
      <w:snapToGrid w:val="0"/>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855</Words>
  <Characters>1090</Characters>
  <Lines>0</Lines>
  <Paragraphs>0</Paragraphs>
  <TotalTime>0</TotalTime>
  <ScaleCrop>false</ScaleCrop>
  <LinksUpToDate>false</LinksUpToDate>
  <CharactersWithSpaces>1103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2023-05-04T00:50:00Z</dcterms:created>
  <dc:creator>雷楠</dc:creator>
  <cp:lastModifiedBy>雷楠</cp:lastModifiedBy>
  <dcterms:modified xsi:type="dcterms:W3CDTF">2023-05-04T00:50:17Z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99DB0F22ECBC498EB5FDBBD62E3C6534</vt:lpwstr>
  </property>
</Properties>
</file>