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689"/>
        <w:gridCol w:w="687"/>
        <w:gridCol w:w="690"/>
        <w:gridCol w:w="690"/>
        <w:gridCol w:w="688"/>
        <w:gridCol w:w="690"/>
        <w:gridCol w:w="678"/>
        <w:gridCol w:w="1931"/>
        <w:gridCol w:w="1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2414" w:type="pct"/>
            <w:gridSpan w:val="7"/>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0" w:type="auto"/>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4352" w:type="pct"/>
            <w:gridSpan w:val="9"/>
            <w:tcBorders>
              <w:tl2br w:val="nil"/>
              <w:tr2bl w:val="nil"/>
            </w:tcBorders>
            <w:vAlign w:val="center"/>
          </w:tcPr>
          <w:p>
            <w:pPr>
              <w:spacing w:line="500" w:lineRule="exact"/>
              <w:jc w:val="center"/>
              <w:rPr>
                <w:rFonts w:hint="eastAsia" w:ascii="仿宋" w:hAnsi="仿宋" w:eastAsia="仿宋"/>
                <w:color w:val="auto"/>
                <w:kern w:val="0"/>
                <w:szCs w:val="21"/>
                <w:lang w:eastAsia="zh-CN"/>
              </w:rPr>
            </w:pPr>
            <w:r>
              <w:rPr>
                <w:rFonts w:hint="eastAsia" w:ascii="仿宋" w:hAnsi="仿宋" w:eastAsia="仿宋"/>
                <w:color w:val="auto"/>
                <w:kern w:val="0"/>
                <w:szCs w:val="21"/>
                <w:lang w:eastAsia="zh-CN"/>
              </w:rPr>
              <w:t>贵州高速投资集团有限公司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4352" w:type="pct"/>
            <w:gridSpan w:val="9"/>
            <w:tcBorders>
              <w:tl2br w:val="nil"/>
              <w:tr2bl w:val="nil"/>
            </w:tcBorders>
            <w:vAlign w:val="center"/>
          </w:tcPr>
          <w:p>
            <w:pPr>
              <w:spacing w:line="500" w:lineRule="exact"/>
              <w:jc w:val="center"/>
              <w:rPr>
                <w:rFonts w:hint="default" w:ascii="仿宋" w:hAnsi="仿宋" w:eastAsia="仿宋"/>
                <w:color w:val="auto"/>
                <w:kern w:val="0"/>
                <w:szCs w:val="21"/>
                <w:lang w:val="en-US" w:eastAsia="zh-CN"/>
              </w:rPr>
            </w:pPr>
            <w:r>
              <w:rPr>
                <w:rFonts w:hint="eastAsia" w:ascii="仿宋" w:hAnsi="仿宋" w:eastAsia="仿宋" w:cs="Times New Roman"/>
                <w:color w:val="auto"/>
                <w:kern w:val="0"/>
                <w:szCs w:val="21"/>
                <w:lang w:val="en-US" w:eastAsia="zh-CN"/>
              </w:rPr>
              <w:t>贵州高速投资集团有限公司</w:t>
            </w:r>
            <w:r>
              <w:rPr>
                <w:rFonts w:hint="eastAsia" w:ascii="仿宋" w:hAnsi="仿宋" w:eastAsia="仿宋" w:cs="Times New Roman"/>
                <w:color w:val="auto"/>
                <w:kern w:val="0"/>
                <w:szCs w:val="21"/>
                <w:lang w:eastAsia="zh-CN"/>
              </w:rPr>
              <w:t>思南南收费站加油站新建项目</w:t>
            </w:r>
            <w:r>
              <w:rPr>
                <w:rFonts w:hint="eastAsia" w:ascii="仿宋" w:hAnsi="仿宋" w:eastAsia="仿宋" w:cs="Times New Roman"/>
                <w:color w:val="auto"/>
                <w:kern w:val="0"/>
                <w:szCs w:val="21"/>
                <w:lang w:val="en-US" w:eastAsia="zh-CN"/>
              </w:rPr>
              <w:t>司安全设施竣工验收评价报告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4352" w:type="pct"/>
            <w:gridSpan w:val="9"/>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gridSpan w:val="2"/>
            <w:tcBorders>
              <w:tl2br w:val="nil"/>
              <w:tr2bl w:val="nil"/>
            </w:tcBorders>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0" w:type="auto"/>
            <w:gridSpan w:val="8"/>
            <w:tcBorders>
              <w:tl2br w:val="nil"/>
              <w:tr2bl w:val="nil"/>
            </w:tcBorders>
            <w:vAlign w:val="center"/>
          </w:tcPr>
          <w:p>
            <w:pPr>
              <w:spacing w:line="400" w:lineRule="exact"/>
              <w:ind w:firstLine="0" w:firstLineChars="0"/>
              <w:rPr>
                <w:rFonts w:hint="default" w:ascii="仿宋" w:hAnsi="仿宋" w:eastAsia="仿宋"/>
                <w:color w:val="auto"/>
                <w:szCs w:val="21"/>
                <w:lang w:val="en-US" w:eastAsia="zh-CN"/>
              </w:rPr>
            </w:pPr>
            <w:r>
              <w:rPr>
                <w:rFonts w:hint="eastAsia" w:ascii="仿宋" w:hAnsi="仿宋" w:eastAsia="仿宋"/>
                <w:color w:val="auto"/>
                <w:lang w:val="en-US" w:eastAsia="zh-CN"/>
              </w:rPr>
              <w:t>石油加工业，化学原料、化学品及医药制造业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gridSpan w:val="10"/>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056" w:type="pct"/>
            <w:gridSpan w:val="6"/>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0" w:type="auto"/>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2056" w:type="pct"/>
            <w:gridSpan w:val="6"/>
            <w:tcBorders>
              <w:tl2br w:val="nil"/>
              <w:tr2bl w:val="nil"/>
            </w:tcBorders>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陈红旭</w:t>
            </w:r>
          </w:p>
        </w:tc>
        <w:tc>
          <w:tcPr>
            <w:tcW w:w="0" w:type="auto"/>
            <w:gridSpan w:val="2"/>
            <w:tcBorders>
              <w:tl2br w:val="nil"/>
              <w:tr2bl w:val="nil"/>
            </w:tcBorders>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刘国勇</w:t>
            </w:r>
          </w:p>
        </w:tc>
        <w:tc>
          <w:tcPr>
            <w:tcW w:w="0" w:type="auto"/>
            <w:tcBorders>
              <w:tl2br w:val="nil"/>
              <w:tr2bl w:val="nil"/>
            </w:tcBorders>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color w:val="auto"/>
                <w:sz w:val="21"/>
                <w:szCs w:val="21"/>
                <w:lang w:eastAsia="zh-CN"/>
              </w:rPr>
              <w:t>冯</w:t>
            </w:r>
            <w:r>
              <w:rPr>
                <w:rFonts w:hint="eastAsia" w:ascii="仿宋" w:hAnsi="仿宋" w:eastAsia="仿宋" w:cs="Times New Roman"/>
                <w:color w:val="auto"/>
                <w:sz w:val="21"/>
                <w:szCs w:val="21"/>
                <w:lang w:val="en-US" w:eastAsia="zh-CN"/>
              </w:rPr>
              <w:t xml:space="preserve">  </w:t>
            </w:r>
            <w:r>
              <w:rPr>
                <w:rFonts w:hint="eastAsia" w:ascii="仿宋" w:hAnsi="仿宋" w:eastAsia="仿宋" w:cs="Times New Roman"/>
                <w:color w:val="auto"/>
                <w:sz w:val="21"/>
                <w:szCs w:val="21"/>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962" w:type="pct"/>
            <w:gridSpan w:val="3"/>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0" w:type="auto"/>
            <w:gridSpan w:val="4"/>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962" w:type="pct"/>
            <w:gridSpan w:val="3"/>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陈红旭</w:t>
            </w:r>
          </w:p>
        </w:tc>
        <w:tc>
          <w:tcPr>
            <w:tcW w:w="0" w:type="auto"/>
            <w:gridSpan w:val="4"/>
            <w:tcBorders>
              <w:tl2br w:val="nil"/>
              <w:tr2bl w:val="nil"/>
            </w:tcBorders>
            <w:vAlign w:val="center"/>
          </w:tcPr>
          <w:p>
            <w:pPr>
              <w:spacing w:line="500" w:lineRule="exact"/>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2024.1</w:t>
            </w:r>
          </w:p>
        </w:tc>
        <w:tc>
          <w:tcPr>
            <w:tcW w:w="0" w:type="auto"/>
            <w:tcBorders>
              <w:tl2br w:val="nil"/>
              <w:tr2bl w:val="nil"/>
            </w:tcBorders>
            <w:vAlign w:val="center"/>
          </w:tcPr>
          <w:p>
            <w:pPr>
              <w:spacing w:line="500" w:lineRule="exact"/>
              <w:jc w:val="center"/>
              <w:rPr>
                <w:rFonts w:hint="eastAsia" w:ascii="仿宋" w:hAnsi="仿宋" w:eastAsia="仿宋" w:cs="Times New Roman"/>
                <w:color w:val="auto"/>
                <w:szCs w:val="21"/>
                <w:lang w:eastAsia="zh-CN"/>
              </w:rPr>
            </w:pPr>
            <w:r>
              <w:rPr>
                <w:rFonts w:hint="eastAsia" w:ascii="仿宋" w:hAnsi="仿宋" w:eastAsia="仿宋" w:cs="Times New Roman"/>
                <w:color w:val="auto"/>
                <w:szCs w:val="21"/>
                <w:lang w:val="en-US" w:eastAsia="zh-CN"/>
              </w:rPr>
              <w:t>刘国勇</w:t>
            </w:r>
          </w:p>
        </w:tc>
        <w:tc>
          <w:tcPr>
            <w:tcW w:w="0" w:type="auto"/>
            <w:tcBorders>
              <w:tl2br w:val="nil"/>
              <w:tr2bl w:val="nil"/>
            </w:tcBorders>
            <w:vAlign w:val="center"/>
          </w:tcPr>
          <w:p>
            <w:pPr>
              <w:spacing w:line="500" w:lineRule="exact"/>
              <w:jc w:val="center"/>
              <w:rPr>
                <w:rFonts w:hint="default" w:ascii="仿宋" w:hAnsi="仿宋" w:eastAsia="仿宋" w:cs="Times New Roman"/>
                <w:color w:val="auto"/>
                <w:szCs w:val="21"/>
                <w:lang w:val="en-US"/>
              </w:rPr>
            </w:pPr>
            <w:r>
              <w:rPr>
                <w:rFonts w:hint="eastAsia" w:ascii="仿宋" w:hAnsi="仿宋" w:eastAsia="仿宋" w:cs="Times New Roman"/>
                <w:color w:val="auto"/>
                <w:szCs w:val="21"/>
                <w:lang w:val="en-US" w:eastAsia="zh-CN"/>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691" w:type="pct"/>
            <w:gridSpan w:val="5"/>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0" w:type="auto"/>
            <w:gridSpan w:val="2"/>
            <w:tcBorders>
              <w:tl2br w:val="nil"/>
              <w:tr2bl w:val="nil"/>
            </w:tcBorders>
            <w:vAlign w:val="center"/>
          </w:tcPr>
          <w:p>
            <w:pPr>
              <w:spacing w:line="480" w:lineRule="auto"/>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0" w:type="auto"/>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0" w:type="auto"/>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陈红旭</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041366</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余光鸿</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021106</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席  刚</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化工</w:t>
            </w:r>
            <w:r>
              <w:rPr>
                <w:rFonts w:hint="eastAsia" w:ascii="仿宋" w:hAnsi="仿宋" w:eastAsia="仿宋" w:cs="仿宋"/>
                <w:color w:val="000000" w:themeColor="text1"/>
                <w:kern w:val="2"/>
                <w:sz w:val="21"/>
                <w:szCs w:val="21"/>
                <w:lang w:val="en-US" w:eastAsia="zh-CN" w:bidi="ar-SA"/>
                <w14:textFill>
                  <w14:solidFill>
                    <w14:schemeClr w14:val="tx1"/>
                  </w14:solidFill>
                </w14:textFill>
              </w:rPr>
              <w:t>工艺</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035615</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林  波</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化工专业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color w:val="auto"/>
                <w:kern w:val="0"/>
                <w:sz w:val="21"/>
                <w:szCs w:val="21"/>
                <w:lang w:val="en-US" w:eastAsia="zh-CN" w:bidi="ar"/>
              </w:rPr>
              <w:t>035915</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唐  波</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035894</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雷</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lang w:eastAsia="zh-CN"/>
                <w14:textFill>
                  <w14:solidFill>
                    <w14:schemeClr w14:val="tx1"/>
                  </w14:solidFill>
                </w14:textFill>
              </w:rPr>
              <w:t>楠</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电气专业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030719</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bookmarkStart w:id="0" w:name="OLE_LINK4"/>
            <w:r>
              <w:rPr>
                <w:rFonts w:hint="eastAsia" w:ascii="仿宋" w:hAnsi="仿宋" w:eastAsia="仿宋" w:cs="仿宋"/>
                <w:color w:val="000000" w:themeColor="text1"/>
                <w:sz w:val="21"/>
                <w:szCs w:val="21"/>
                <w:lang w:eastAsia="zh-CN"/>
                <w14:textFill>
                  <w14:solidFill>
                    <w14:schemeClr w14:val="tx1"/>
                  </w14:solidFill>
                </w14:textFill>
              </w:rPr>
              <w:t>田祖伟</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安全专业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035650</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何文勋</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安全专业</w:t>
            </w:r>
          </w:p>
        </w:tc>
        <w:tc>
          <w:tcPr>
            <w:tcW w:w="0" w:type="auto"/>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rPr>
              <w:t>035553</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孟萌萌</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电气专业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019246</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刘文娟</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自动化专业</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lang w:val="en-US" w:eastAsia="zh-CN" w:bidi="ar"/>
              </w:rPr>
              <w:t>019235</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widowControl/>
              <w:adjustRightInd w:val="0"/>
              <w:snapToGrid w:val="0"/>
              <w:jc w:val="center"/>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Cs w:val="21"/>
                <w:lang w:eastAsia="zh-CN"/>
              </w:rPr>
              <w:t>冯</w:t>
            </w:r>
            <w:r>
              <w:rPr>
                <w:rFonts w:hint="eastAsia" w:ascii="仿宋" w:hAnsi="仿宋" w:eastAsia="仿宋" w:cs="宋体"/>
                <w:color w:val="auto"/>
                <w:kern w:val="2"/>
                <w:szCs w:val="21"/>
                <w:lang w:val="en-US" w:eastAsia="zh-CN"/>
              </w:rPr>
              <w:t xml:space="preserve">  </w:t>
            </w:r>
            <w:r>
              <w:rPr>
                <w:rFonts w:hint="eastAsia" w:ascii="仿宋" w:hAnsi="仿宋" w:eastAsia="仿宋" w:cs="宋体"/>
                <w:color w:val="auto"/>
                <w:kern w:val="2"/>
                <w:szCs w:val="21"/>
                <w:lang w:eastAsia="zh-CN"/>
              </w:rPr>
              <w:t>皓</w:t>
            </w:r>
          </w:p>
        </w:tc>
        <w:tc>
          <w:tcPr>
            <w:tcW w:w="1691" w:type="pct"/>
            <w:gridSpan w:val="5"/>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 w:hAnsi="仿宋" w:eastAsia="仿宋" w:cs="宋体"/>
                <w:color w:val="auto"/>
                <w:kern w:val="2"/>
                <w:szCs w:val="21"/>
                <w:lang w:eastAsia="zh-CN"/>
              </w:rPr>
              <w:t>化工机械</w:t>
            </w:r>
          </w:p>
        </w:tc>
        <w:tc>
          <w:tcPr>
            <w:tcW w:w="0" w:type="auto"/>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019237</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55130140330</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4352" w:type="pct"/>
            <w:gridSpan w:val="9"/>
            <w:tcBorders>
              <w:tl2br w:val="nil"/>
              <w:tr2bl w:val="nil"/>
            </w:tcBorders>
            <w:vAlign w:val="center"/>
          </w:tcPr>
          <w:p>
            <w:pPr>
              <w:spacing w:line="240" w:lineRule="auto"/>
              <w:ind w:firstLine="0"/>
              <w:jc w:val="left"/>
              <w:rPr>
                <w:rFonts w:hint="eastAsia" w:ascii="仿宋" w:hAnsi="仿宋" w:eastAsia="仿宋" w:cs="仿宋"/>
                <w:lang w:val="en-US" w:eastAsia="zh-CN"/>
              </w:rPr>
            </w:pPr>
            <w:bookmarkStart w:id="1" w:name="OLE_LINK9"/>
            <w:r>
              <w:rPr>
                <w:rFonts w:hint="default" w:ascii="仿宋" w:hAnsi="仿宋" w:eastAsia="仿宋" w:cs="仿宋"/>
                <w:lang w:val="en-US" w:eastAsia="zh-CN"/>
              </w:rPr>
              <w:t>一、建设项目概况</w:t>
            </w:r>
          </w:p>
          <w:p>
            <w:pPr>
              <w:bidi w:val="0"/>
              <w:ind w:firstLine="420" w:firstLineChars="200"/>
              <w:jc w:val="lef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思南南收费站加油站隶属于贵州高速投资集团有限公司</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于2022年04月26日取得贵州省市场监督管理局《企业名称自主申报告知书》，编号：012022042600322。</w:t>
            </w:r>
          </w:p>
          <w:p>
            <w:pPr>
              <w:bidi w:val="0"/>
              <w:ind w:firstLine="420" w:firstLineChars="200"/>
              <w:jc w:val="lef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思南南收费站加油站于2019年12月30日取得贵州省商务厅</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省商务厅</w:t>
            </w:r>
            <w:r>
              <w:rPr>
                <w:rFonts w:hint="eastAsia" w:ascii="仿宋" w:hAnsi="仿宋" w:eastAsia="仿宋" w:cs="仿宋"/>
                <w:color w:val="auto"/>
                <w:highlight w:val="none"/>
              </w:rPr>
              <w:t>关于贵州高速</w:t>
            </w:r>
            <w:r>
              <w:rPr>
                <w:rFonts w:hint="eastAsia" w:ascii="仿宋" w:hAnsi="仿宋" w:eastAsia="仿宋" w:cs="仿宋"/>
                <w:color w:val="auto"/>
                <w:highlight w:val="none"/>
                <w:lang w:val="en-US" w:eastAsia="zh-CN"/>
              </w:rPr>
              <w:t>投资</w:t>
            </w:r>
            <w:r>
              <w:rPr>
                <w:rFonts w:hint="eastAsia" w:ascii="仿宋" w:hAnsi="仿宋" w:eastAsia="仿宋" w:cs="仿宋"/>
                <w:color w:val="auto"/>
                <w:highlight w:val="none"/>
              </w:rPr>
              <w:t>集团有限公司红水河</w:t>
            </w:r>
            <w:r>
              <w:rPr>
                <w:rFonts w:hint="eastAsia" w:ascii="仿宋" w:hAnsi="仿宋" w:eastAsia="仿宋" w:cs="仿宋"/>
                <w:color w:val="auto"/>
                <w:highlight w:val="none"/>
                <w:lang w:val="en-US" w:eastAsia="zh-CN"/>
              </w:rPr>
              <w:t>收费加油站等规划确认的批复》（黔商许准〔2019〕55号）；</w:t>
            </w:r>
            <w:r>
              <w:rPr>
                <w:rFonts w:hint="eastAsia" w:ascii="仿宋" w:hAnsi="仿宋" w:eastAsia="仿宋" w:cs="仿宋"/>
                <w:color w:val="auto"/>
                <w:highlight w:val="none"/>
              </w:rPr>
              <w:t>于20</w:t>
            </w:r>
            <w:r>
              <w:rPr>
                <w:rFonts w:hint="eastAsia" w:ascii="仿宋" w:hAnsi="仿宋" w:eastAsia="仿宋" w:cs="仿宋"/>
                <w:color w:val="auto"/>
                <w:highlight w:val="none"/>
                <w:lang w:val="en-US" w:eastAsia="zh-CN"/>
              </w:rPr>
              <w:t>20</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日取得贵州省交通运输厅《省交通运输厅关于贵州高速</w:t>
            </w:r>
            <w:r>
              <w:rPr>
                <w:rFonts w:hint="eastAsia" w:ascii="仿宋" w:hAnsi="仿宋" w:eastAsia="仿宋" w:cs="仿宋"/>
                <w:color w:val="auto"/>
                <w:highlight w:val="none"/>
                <w:lang w:val="en-US" w:eastAsia="zh-CN"/>
              </w:rPr>
              <w:t>投资</w:t>
            </w:r>
            <w:r>
              <w:rPr>
                <w:rFonts w:hint="eastAsia" w:ascii="仿宋" w:hAnsi="仿宋" w:eastAsia="仿宋" w:cs="仿宋"/>
                <w:color w:val="auto"/>
                <w:highlight w:val="none"/>
              </w:rPr>
              <w:t>集团有限公司</w:t>
            </w:r>
            <w:r>
              <w:rPr>
                <w:rFonts w:hint="eastAsia" w:ascii="仿宋" w:hAnsi="仿宋" w:eastAsia="仿宋" w:cs="仿宋"/>
                <w:color w:val="auto"/>
                <w:highlight w:val="none"/>
                <w:lang w:eastAsia="zh-CN"/>
              </w:rPr>
              <w:t>申请在</w:t>
            </w:r>
            <w:r>
              <w:rPr>
                <w:rFonts w:hint="eastAsia" w:ascii="仿宋" w:hAnsi="仿宋" w:eastAsia="仿宋" w:cs="仿宋"/>
                <w:color w:val="auto"/>
                <w:highlight w:val="none"/>
              </w:rPr>
              <w:t>红水河等36处收费站</w:t>
            </w:r>
            <w:r>
              <w:rPr>
                <w:rFonts w:hint="eastAsia" w:ascii="仿宋" w:hAnsi="仿宋" w:eastAsia="仿宋" w:cs="仿宋"/>
                <w:color w:val="auto"/>
                <w:highlight w:val="none"/>
                <w:lang w:eastAsia="zh-CN"/>
              </w:rPr>
              <w:t>新建</w:t>
            </w:r>
            <w:r>
              <w:rPr>
                <w:rFonts w:hint="eastAsia" w:ascii="仿宋" w:hAnsi="仿宋" w:eastAsia="仿宋" w:cs="仿宋"/>
                <w:color w:val="auto"/>
                <w:highlight w:val="none"/>
                <w:lang w:val="en-US" w:eastAsia="zh-CN"/>
              </w:rPr>
              <w:t>42个加油站</w:t>
            </w:r>
            <w:r>
              <w:rPr>
                <w:rFonts w:hint="eastAsia" w:ascii="仿宋" w:hAnsi="仿宋" w:eastAsia="仿宋" w:cs="仿宋"/>
                <w:color w:val="auto"/>
                <w:highlight w:val="none"/>
              </w:rPr>
              <w:t>的</w:t>
            </w:r>
            <w:r>
              <w:rPr>
                <w:rFonts w:hint="eastAsia" w:ascii="仿宋" w:hAnsi="仿宋" w:eastAsia="仿宋" w:cs="仿宋"/>
                <w:color w:val="auto"/>
                <w:highlight w:val="none"/>
                <w:lang w:eastAsia="zh-CN"/>
              </w:rPr>
              <w:t>批复</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黔交建设</w:t>
            </w:r>
            <w:r>
              <w:rPr>
                <w:rFonts w:hint="eastAsia" w:ascii="仿宋" w:hAnsi="仿宋" w:eastAsia="仿宋" w:cs="仿宋"/>
                <w:color w:val="auto"/>
                <w:highlight w:val="none"/>
              </w:rPr>
              <w:t>〔20</w:t>
            </w:r>
            <w:r>
              <w:rPr>
                <w:rFonts w:hint="eastAsia" w:ascii="仿宋" w:hAnsi="仿宋" w:eastAsia="仿宋" w:cs="仿宋"/>
                <w:color w:val="auto"/>
                <w:highlight w:val="none"/>
                <w:lang w:val="en-US" w:eastAsia="zh-CN"/>
              </w:rPr>
              <w:t>20</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41</w:t>
            </w:r>
            <w:r>
              <w:rPr>
                <w:rFonts w:hint="eastAsia" w:ascii="仿宋" w:hAnsi="仿宋" w:eastAsia="仿宋" w:cs="仿宋"/>
                <w:color w:val="auto"/>
                <w:highlight w:val="none"/>
              </w:rPr>
              <w:t>号）</w:t>
            </w:r>
            <w:r>
              <w:rPr>
                <w:rFonts w:hint="eastAsia" w:ascii="仿宋" w:hAnsi="仿宋" w:eastAsia="仿宋" w:cs="仿宋"/>
                <w:color w:val="auto"/>
                <w:highlight w:val="none"/>
                <w:lang w:eastAsia="zh-CN"/>
              </w:rPr>
              <w:t>；于</w:t>
            </w:r>
            <w:r>
              <w:rPr>
                <w:rFonts w:hint="eastAsia" w:ascii="仿宋" w:hAnsi="仿宋" w:eastAsia="仿宋" w:cs="仿宋"/>
                <w:color w:val="auto"/>
                <w:highlight w:val="none"/>
                <w:lang w:val="en-US" w:eastAsia="zh-CN"/>
              </w:rPr>
              <w:t>2020年9月28日取得</w:t>
            </w:r>
            <w:r>
              <w:rPr>
                <w:rFonts w:hint="eastAsia" w:ascii="仿宋" w:hAnsi="仿宋" w:eastAsia="仿宋" w:cs="仿宋"/>
                <w:color w:val="auto"/>
                <w:highlight w:val="none"/>
              </w:rPr>
              <w:t>贵州省交通运输厅</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省交通运输厅关于红水河等36处收费站</w:t>
            </w:r>
            <w:r>
              <w:rPr>
                <w:rFonts w:hint="eastAsia" w:ascii="仿宋" w:hAnsi="仿宋" w:eastAsia="仿宋" w:cs="仿宋"/>
                <w:color w:val="auto"/>
                <w:highlight w:val="none"/>
                <w:lang w:eastAsia="zh-CN"/>
              </w:rPr>
              <w:t>新建</w:t>
            </w:r>
            <w:r>
              <w:rPr>
                <w:rFonts w:hint="eastAsia" w:ascii="仿宋" w:hAnsi="仿宋" w:eastAsia="仿宋" w:cs="仿宋"/>
                <w:color w:val="auto"/>
                <w:highlight w:val="none"/>
                <w:lang w:val="en-US" w:eastAsia="zh-CN"/>
              </w:rPr>
              <w:t>42个加油站增设条件及安全性评价的回复意见</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黔交建设</w:t>
            </w:r>
            <w:r>
              <w:rPr>
                <w:rFonts w:hint="eastAsia" w:ascii="仿宋" w:hAnsi="仿宋" w:eastAsia="仿宋" w:cs="仿宋"/>
                <w:color w:val="auto"/>
                <w:highlight w:val="none"/>
              </w:rPr>
              <w:t>〔20</w:t>
            </w:r>
            <w:r>
              <w:rPr>
                <w:rFonts w:hint="eastAsia" w:ascii="仿宋" w:hAnsi="仿宋" w:eastAsia="仿宋" w:cs="仿宋"/>
                <w:color w:val="auto"/>
                <w:highlight w:val="none"/>
                <w:lang w:val="en-US" w:eastAsia="zh-CN"/>
              </w:rPr>
              <w:t>20</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64</w:t>
            </w:r>
            <w:r>
              <w:rPr>
                <w:rFonts w:hint="eastAsia" w:ascii="仿宋" w:hAnsi="仿宋" w:eastAsia="仿宋" w:cs="仿宋"/>
                <w:color w:val="auto"/>
                <w:highlight w:val="none"/>
              </w:rPr>
              <w:t>号</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；于2019年11月4日取得用地不动产权证书（黔〔2019〕思南县不动产权第0004691号）</w:t>
            </w:r>
            <w:r>
              <w:rPr>
                <w:rFonts w:hint="eastAsia" w:ascii="仿宋" w:hAnsi="仿宋" w:eastAsia="仿宋" w:cs="仿宋"/>
                <w:color w:val="auto"/>
                <w:highlight w:val="none"/>
                <w:lang w:eastAsia="zh-CN"/>
              </w:rPr>
              <w:t>。</w:t>
            </w:r>
          </w:p>
          <w:p>
            <w:pPr>
              <w:bidi w:val="0"/>
              <w:ind w:firstLine="420" w:firstLineChars="200"/>
              <w:jc w:val="left"/>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贵州高速投资集团有限公司委托贵州黔晟恒宇岩土工程有限公司对本项目进行了岩土工程勘察，于2021年12月出具了《思南南收费站加油站岩土工程勘查报告》；</w:t>
            </w:r>
            <w:r>
              <w:rPr>
                <w:rFonts w:hint="eastAsia" w:ascii="仿宋" w:hAnsi="仿宋" w:eastAsia="仿宋" w:cs="仿宋"/>
                <w:color w:val="auto"/>
                <w:highlight w:val="none"/>
              </w:rPr>
              <w:t>委托贵州雍阳地矿资源开发有限公司对本项目进行了安全条件评价，于202</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05</w:t>
            </w:r>
            <w:r>
              <w:rPr>
                <w:rFonts w:hint="eastAsia" w:ascii="仿宋" w:hAnsi="仿宋" w:eastAsia="仿宋" w:cs="仿宋"/>
                <w:color w:val="auto"/>
                <w:highlight w:val="none"/>
              </w:rPr>
              <w:t>月出具了《</w:t>
            </w:r>
            <w:r>
              <w:rPr>
                <w:rFonts w:hint="eastAsia" w:ascii="仿宋" w:hAnsi="仿宋" w:eastAsia="仿宋" w:cs="仿宋"/>
                <w:color w:val="auto"/>
                <w:highlight w:val="none"/>
                <w:lang w:val="en-US" w:eastAsia="zh-CN"/>
              </w:rPr>
              <w:t>贵州高速投资集团有限公司思南南收费站加油站新</w:t>
            </w:r>
            <w:r>
              <w:rPr>
                <w:rFonts w:hint="eastAsia" w:ascii="仿宋" w:hAnsi="仿宋" w:eastAsia="仿宋" w:cs="仿宋"/>
                <w:color w:val="auto"/>
                <w:highlight w:val="none"/>
              </w:rPr>
              <w:t>建项目安全条件评价报告》；委托哈尔滨天源石化工程设计有限责任公司对本项目进行了安全设施设计，于202</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月出具了《</w:t>
            </w:r>
            <w:r>
              <w:rPr>
                <w:rFonts w:hint="eastAsia" w:ascii="仿宋" w:hAnsi="仿宋" w:eastAsia="仿宋" w:cs="仿宋"/>
                <w:color w:val="auto"/>
                <w:highlight w:val="none"/>
                <w:lang w:eastAsia="zh-CN"/>
              </w:rPr>
              <w:t>贵州高速投资集团有限公司思南南收费站加油站新建项目安全设施设计专篇</w:t>
            </w:r>
            <w:r>
              <w:rPr>
                <w:rFonts w:hint="eastAsia" w:ascii="仿宋" w:hAnsi="仿宋" w:eastAsia="仿宋" w:cs="仿宋"/>
                <w:color w:val="auto"/>
                <w:highlight w:val="none"/>
              </w:rPr>
              <w:t>》。</w:t>
            </w:r>
          </w:p>
          <w:p>
            <w:pPr>
              <w:bidi w:val="0"/>
              <w:ind w:firstLine="420" w:firstLineChars="200"/>
              <w:jc w:val="left"/>
              <w:rPr>
                <w:rFonts w:hint="eastAsia" w:ascii="仿宋" w:hAnsi="仿宋" w:eastAsia="仿宋" w:cs="仿宋"/>
                <w:color w:val="auto"/>
                <w:highlight w:val="none"/>
              </w:rPr>
            </w:pPr>
            <w:r>
              <w:rPr>
                <w:rFonts w:hint="eastAsia" w:ascii="仿宋" w:hAnsi="仿宋" w:eastAsia="仿宋" w:cs="仿宋"/>
                <w:color w:val="auto"/>
                <w:highlight w:val="none"/>
                <w:lang w:eastAsia="zh-CN"/>
              </w:rPr>
              <w:t>铜仁</w:t>
            </w:r>
            <w:r>
              <w:rPr>
                <w:rFonts w:hint="eastAsia" w:ascii="仿宋" w:hAnsi="仿宋" w:eastAsia="仿宋" w:cs="仿宋"/>
                <w:color w:val="auto"/>
                <w:highlight w:val="none"/>
              </w:rPr>
              <w:t>市应急管理局组织对本项目安全条件和安全设施设计专篇进行了审查，于202</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22</w:t>
            </w:r>
            <w:r>
              <w:rPr>
                <w:rFonts w:hint="eastAsia" w:ascii="仿宋" w:hAnsi="仿宋" w:eastAsia="仿宋" w:cs="仿宋"/>
                <w:color w:val="auto"/>
                <w:highlight w:val="none"/>
              </w:rPr>
              <w:t>日签发了《危险化学品建设项目安全条件审查意见书》（</w:t>
            </w:r>
            <w:r>
              <w:rPr>
                <w:rFonts w:hint="eastAsia" w:ascii="仿宋" w:hAnsi="仿宋" w:eastAsia="仿宋" w:cs="仿宋"/>
                <w:color w:val="auto"/>
                <w:highlight w:val="none"/>
                <w:lang w:eastAsia="zh-CN"/>
              </w:rPr>
              <w:t>黔铜危化项目安条审字〔2022〕10号</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、《危险化学品建设项目安全设施设计审查意见书》（黔铜危化项目安设审字〔2022〕9号）</w:t>
            </w:r>
            <w:r>
              <w:rPr>
                <w:rFonts w:hint="eastAsia" w:ascii="仿宋" w:hAnsi="仿宋" w:eastAsia="仿宋" w:cs="仿宋"/>
                <w:color w:val="auto"/>
                <w:highlight w:val="none"/>
              </w:rPr>
              <w:t>，同意通过本项目安全条件和安全设施设计专篇审查。</w:t>
            </w:r>
          </w:p>
          <w:p>
            <w:pPr>
              <w:bidi w:val="0"/>
              <w:ind w:firstLine="420" w:firstLineChars="200"/>
              <w:jc w:val="left"/>
              <w:rPr>
                <w:rFonts w:hint="eastAsia" w:ascii="仿宋" w:hAnsi="仿宋" w:eastAsia="仿宋" w:cs="仿宋"/>
                <w:color w:val="auto"/>
                <w:highlight w:val="none"/>
              </w:rPr>
            </w:pPr>
            <w:r>
              <w:rPr>
                <w:rFonts w:hint="eastAsia" w:ascii="仿宋" w:hAnsi="仿宋" w:eastAsia="仿宋" w:cs="仿宋"/>
                <w:color w:val="auto"/>
                <w:highlight w:val="none"/>
                <w:lang w:eastAsia="zh-CN"/>
              </w:rPr>
              <w:t>思南南收费站加油站</w:t>
            </w:r>
            <w:r>
              <w:rPr>
                <w:rFonts w:hint="eastAsia" w:ascii="仿宋" w:hAnsi="仿宋" w:eastAsia="仿宋" w:cs="仿宋"/>
                <w:color w:val="auto"/>
                <w:highlight w:val="none"/>
                <w:lang w:val="en-US" w:eastAsia="zh-CN"/>
              </w:rPr>
              <w:t>土建施工</w:t>
            </w:r>
            <w:r>
              <w:rPr>
                <w:rFonts w:hint="eastAsia" w:ascii="仿宋" w:hAnsi="仿宋" w:eastAsia="仿宋" w:cs="仿宋"/>
                <w:color w:val="auto"/>
                <w:highlight w:val="none"/>
              </w:rPr>
              <w:t>单位：贵州高投生态产业有限公司，</w:t>
            </w:r>
            <w:r>
              <w:rPr>
                <w:rFonts w:hint="eastAsia" w:ascii="仿宋" w:hAnsi="仿宋" w:eastAsia="仿宋" w:cs="仿宋"/>
                <w:color w:val="auto"/>
                <w:highlight w:val="none"/>
                <w:lang w:val="en-US" w:eastAsia="zh-CN"/>
              </w:rPr>
              <w:t>安装施工单位：贵州盛华大地建设工程有限公司，</w:t>
            </w:r>
            <w:r>
              <w:rPr>
                <w:rFonts w:hint="eastAsia" w:ascii="仿宋" w:hAnsi="仿宋" w:eastAsia="仿宋" w:cs="仿宋"/>
                <w:color w:val="auto"/>
                <w:highlight w:val="none"/>
              </w:rPr>
              <w:t>监理单位：重庆市永安工程建设监理有限公司。</w:t>
            </w:r>
          </w:p>
          <w:p>
            <w:pPr>
              <w:bidi w:val="0"/>
              <w:ind w:firstLine="420" w:firstLineChars="200"/>
              <w:jc w:val="left"/>
              <w:rPr>
                <w:rFonts w:hint="eastAsia" w:ascii="仿宋" w:hAnsi="仿宋" w:eastAsia="仿宋" w:cs="仿宋"/>
                <w:color w:val="auto"/>
                <w:highlight w:val="none"/>
              </w:rPr>
            </w:pPr>
            <w:r>
              <w:rPr>
                <w:rFonts w:hint="eastAsia" w:ascii="仿宋" w:hAnsi="仿宋" w:eastAsia="仿宋" w:cs="仿宋"/>
                <w:color w:val="auto"/>
                <w:highlight w:val="none"/>
              </w:rPr>
              <w:t>项目</w:t>
            </w:r>
            <w:r>
              <w:rPr>
                <w:rFonts w:hint="eastAsia" w:ascii="仿宋" w:hAnsi="仿宋" w:eastAsia="仿宋" w:cs="仿宋"/>
                <w:color w:val="auto"/>
                <w:highlight w:val="none"/>
                <w:lang w:eastAsia="zh-CN"/>
              </w:rPr>
              <w:t>总</w:t>
            </w:r>
            <w:r>
              <w:rPr>
                <w:rFonts w:hint="eastAsia" w:ascii="仿宋" w:hAnsi="仿宋" w:eastAsia="仿宋" w:cs="仿宋"/>
                <w:color w:val="auto"/>
                <w:highlight w:val="none"/>
              </w:rPr>
              <w:t>投资约</w:t>
            </w:r>
            <w:r>
              <w:rPr>
                <w:rFonts w:hint="eastAsia" w:ascii="仿宋" w:hAnsi="仿宋" w:eastAsia="仿宋" w:cs="仿宋"/>
                <w:color w:val="auto"/>
                <w:highlight w:val="none"/>
                <w:lang w:val="en-US" w:eastAsia="zh-CN"/>
              </w:rPr>
              <w:t>857.49万</w:t>
            </w:r>
            <w:r>
              <w:rPr>
                <w:rFonts w:hint="eastAsia" w:ascii="仿宋" w:hAnsi="仿宋" w:eastAsia="仿宋" w:cs="仿宋"/>
                <w:color w:val="auto"/>
                <w:highlight w:val="none"/>
              </w:rPr>
              <w:t>元</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其中</w:t>
            </w:r>
            <w:r>
              <w:rPr>
                <w:rFonts w:hint="eastAsia" w:ascii="仿宋" w:hAnsi="仿宋" w:eastAsia="仿宋" w:cs="仿宋"/>
                <w:color w:val="auto"/>
                <w:highlight w:val="none"/>
                <w:lang w:eastAsia="zh-CN"/>
              </w:rPr>
              <w:t>安全设施专项投资</w:t>
            </w:r>
            <w:r>
              <w:rPr>
                <w:rFonts w:hint="eastAsia" w:ascii="仿宋" w:hAnsi="仿宋" w:eastAsia="仿宋" w:cs="仿宋"/>
                <w:color w:val="auto"/>
                <w:highlight w:val="none"/>
                <w:lang w:val="en-US" w:eastAsia="zh-CN"/>
              </w:rPr>
              <w:t>51万元，占总投资的5.94％。</w:t>
            </w:r>
          </w:p>
          <w:p>
            <w:pPr>
              <w:bidi w:val="0"/>
              <w:ind w:firstLine="420" w:firstLineChars="200"/>
              <w:jc w:val="lef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eastAsia="zh-CN"/>
              </w:rPr>
              <w:t>思南南收费站加油站</w:t>
            </w:r>
            <w:r>
              <w:rPr>
                <w:rFonts w:hint="eastAsia" w:ascii="仿宋" w:hAnsi="仿宋" w:eastAsia="仿宋" w:cs="仿宋"/>
                <w:color w:val="auto"/>
                <w:highlight w:val="none"/>
              </w:rPr>
              <w:t>进行了</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处设计变更</w:t>
            </w:r>
            <w:r>
              <w:rPr>
                <w:rFonts w:hint="eastAsia" w:ascii="仿宋" w:hAnsi="仿宋" w:eastAsia="仿宋" w:cs="仿宋"/>
                <w:color w:val="auto"/>
                <w:highlight w:val="none"/>
                <w:lang w:val="en-US" w:eastAsia="zh-CN"/>
              </w:rPr>
              <w:t>。原设计非实体通透式围墙变更为高2.2m实体围墙，长约126.5m；加油站至孙家坝方向增设进口，开口宽度16.7m，增加相关提示标识标牌及减速带；取消入口通过式洗车机；现场原设计北侧、西侧和东侧为毛石挡墙，根据现场变更为自然放坡，坡比1:1.75。</w:t>
            </w:r>
          </w:p>
          <w:p>
            <w:pPr>
              <w:spacing w:line="240" w:lineRule="auto"/>
              <w:ind w:firstLine="420" w:firstLineChars="200"/>
              <w:jc w:val="left"/>
              <w:rPr>
                <w:rFonts w:hint="eastAsia" w:ascii="仿宋" w:hAnsi="仿宋" w:eastAsia="仿宋" w:cs="仿宋"/>
                <w:color w:val="auto"/>
                <w:lang w:val="en-US"/>
              </w:rPr>
            </w:pPr>
            <w:r>
              <w:rPr>
                <w:rFonts w:hint="eastAsia" w:ascii="仿宋" w:hAnsi="仿宋" w:eastAsia="仿宋" w:cs="仿宋"/>
                <w:color w:val="auto"/>
                <w:highlight w:val="none"/>
                <w:lang w:eastAsia="zh-CN"/>
              </w:rPr>
              <w:t>思南南收费站加油站</w:t>
            </w:r>
            <w:r>
              <w:rPr>
                <w:rFonts w:hint="eastAsia" w:ascii="仿宋" w:hAnsi="仿宋" w:eastAsia="仿宋" w:cs="仿宋"/>
                <w:color w:val="auto"/>
                <w:highlight w:val="none"/>
                <w:lang w:val="en-US" w:eastAsia="zh-CN"/>
              </w:rPr>
              <w:t>总占地面积约3208.63m²。新</w:t>
            </w:r>
            <w:r>
              <w:rPr>
                <w:rFonts w:hint="eastAsia" w:ascii="仿宋" w:hAnsi="仿宋" w:eastAsia="仿宋" w:cs="仿宋"/>
                <w:color w:val="auto"/>
                <w:highlight w:val="none"/>
                <w:lang w:eastAsia="zh-CN"/>
              </w:rPr>
              <w:t>建</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层框架结构站房</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lang w:eastAsia="zh-CN"/>
              </w:rPr>
              <w:t>栋</w:t>
            </w:r>
            <w:r>
              <w:rPr>
                <w:rFonts w:hint="eastAsia" w:ascii="仿宋" w:hAnsi="仿宋" w:eastAsia="仿宋" w:cs="仿宋"/>
                <w:color w:val="auto"/>
                <w:highlight w:val="none"/>
              </w:rPr>
              <w:t>，建筑面积</w:t>
            </w:r>
            <w:r>
              <w:rPr>
                <w:rFonts w:hint="eastAsia" w:ascii="仿宋" w:hAnsi="仿宋" w:eastAsia="仿宋" w:cs="仿宋"/>
                <w:color w:val="auto"/>
                <w:highlight w:val="none"/>
                <w:lang w:val="en-US" w:eastAsia="zh-CN"/>
              </w:rPr>
              <w:t>381.8</w:t>
            </w:r>
            <w:r>
              <w:rPr>
                <w:rFonts w:hint="eastAsia" w:ascii="仿宋" w:hAnsi="仿宋" w:eastAsia="仿宋" w:cs="仿宋"/>
                <w:color w:val="auto"/>
                <w:highlight w:val="none"/>
              </w:rPr>
              <w:t>㎡；新建型钢结构</w:t>
            </w:r>
            <w:r>
              <w:rPr>
                <w:rFonts w:hint="eastAsia" w:ascii="仿宋" w:hAnsi="仿宋" w:eastAsia="仿宋" w:cs="仿宋"/>
                <w:color w:val="auto"/>
                <w:highlight w:val="none"/>
                <w:lang w:val="en-US" w:eastAsia="zh-CN"/>
              </w:rPr>
              <w:t>罩棚1</w:t>
            </w:r>
            <w:r>
              <w:rPr>
                <w:rFonts w:hint="eastAsia" w:ascii="仿宋" w:hAnsi="仿宋" w:eastAsia="仿宋" w:cs="仿宋"/>
                <w:color w:val="auto"/>
                <w:highlight w:val="none"/>
              </w:rPr>
              <w:t>座，</w:t>
            </w:r>
            <w:r>
              <w:rPr>
                <w:rFonts w:hint="eastAsia" w:ascii="仿宋" w:hAnsi="仿宋" w:eastAsia="仿宋" w:cs="仿宋"/>
                <w:color w:val="auto"/>
                <w:highlight w:val="none"/>
                <w:lang w:val="en-US" w:eastAsia="zh-CN"/>
              </w:rPr>
              <w:t>投影</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CN"/>
              </w:rPr>
              <w:t>512.5</w:t>
            </w:r>
            <w:r>
              <w:rPr>
                <w:rFonts w:hint="eastAsia" w:ascii="仿宋" w:hAnsi="仿宋" w:eastAsia="仿宋" w:cs="仿宋"/>
                <w:color w:val="auto"/>
                <w:highlight w:val="none"/>
              </w:rPr>
              <w:t>㎡；新建加油岛</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座，</w:t>
            </w:r>
            <w:r>
              <w:rPr>
                <w:rFonts w:hint="eastAsia" w:ascii="仿宋" w:hAnsi="仿宋" w:eastAsia="仿宋" w:cs="仿宋"/>
                <w:color w:val="auto"/>
                <w:highlight w:val="none"/>
                <w:lang w:eastAsia="zh-CN"/>
              </w:rPr>
              <w:t>设置</w:t>
            </w:r>
            <w:r>
              <w:rPr>
                <w:rFonts w:hint="eastAsia" w:ascii="仿宋" w:hAnsi="仿宋" w:eastAsia="仿宋" w:cs="仿宋"/>
                <w:color w:val="auto"/>
                <w:highlight w:val="none"/>
                <w:lang w:val="en-US" w:eastAsia="zh-CN"/>
              </w:rPr>
              <w:t>双枪双油品加油机4台</w:t>
            </w:r>
            <w:r>
              <w:rPr>
                <w:rFonts w:hint="eastAsia" w:ascii="仿宋" w:hAnsi="仿宋" w:eastAsia="仿宋" w:cs="仿宋"/>
                <w:color w:val="auto"/>
                <w:highlight w:val="none"/>
              </w:rPr>
              <w:t>；新建</w:t>
            </w:r>
            <w:r>
              <w:rPr>
                <w:rFonts w:hint="eastAsia" w:ascii="仿宋" w:hAnsi="仿宋" w:eastAsia="仿宋" w:cs="仿宋"/>
                <w:color w:val="auto"/>
                <w:highlight w:val="none"/>
                <w:lang w:val="en-US" w:eastAsia="zh-CN"/>
              </w:rPr>
              <w:t>框架</w:t>
            </w:r>
            <w:r>
              <w:rPr>
                <w:rFonts w:hint="eastAsia" w:ascii="仿宋" w:hAnsi="仿宋" w:eastAsia="仿宋" w:cs="仿宋"/>
                <w:color w:val="auto"/>
                <w:highlight w:val="none"/>
              </w:rPr>
              <w:t>承重SF双层油罐罐</w:t>
            </w:r>
            <w:r>
              <w:rPr>
                <w:rFonts w:hint="eastAsia" w:ascii="仿宋" w:hAnsi="仿宋" w:eastAsia="仿宋" w:cs="仿宋"/>
                <w:color w:val="auto"/>
                <w:highlight w:val="none"/>
                <w:lang w:eastAsia="zh-CN"/>
              </w:rPr>
              <w:t>池</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座，</w:t>
            </w:r>
            <w:r>
              <w:rPr>
                <w:rFonts w:hint="eastAsia" w:ascii="仿宋" w:hAnsi="仿宋" w:eastAsia="仿宋" w:cs="仿宋"/>
                <w:color w:val="auto"/>
                <w:highlight w:val="none"/>
                <w:lang w:eastAsia="zh-CN"/>
              </w:rPr>
              <w:t>罐池顶板设计活载荷</w:t>
            </w:r>
            <w:r>
              <w:rPr>
                <w:rFonts w:hint="eastAsia" w:ascii="仿宋" w:hAnsi="仿宋" w:eastAsia="仿宋" w:cs="仿宋"/>
                <w:color w:val="auto"/>
                <w:highlight w:val="none"/>
                <w:lang w:val="en-US" w:eastAsia="zh-CN"/>
              </w:rPr>
              <w:t>35kN/m²，</w:t>
            </w:r>
            <w:r>
              <w:rPr>
                <w:rFonts w:hint="eastAsia" w:ascii="仿宋" w:hAnsi="仿宋" w:eastAsia="仿宋" w:cs="仿宋"/>
                <w:color w:val="auto"/>
                <w:highlight w:val="none"/>
              </w:rPr>
              <w:t>设40m³0#柴油储罐1</w:t>
            </w:r>
            <w:r>
              <w:rPr>
                <w:rFonts w:hint="eastAsia" w:ascii="仿宋" w:hAnsi="仿宋" w:eastAsia="仿宋" w:cs="仿宋"/>
                <w:color w:val="auto"/>
                <w:highlight w:val="none"/>
                <w:lang w:val="en-US" w:eastAsia="zh-CN"/>
              </w:rPr>
              <w:t>个</w:t>
            </w:r>
            <w:r>
              <w:rPr>
                <w:rFonts w:hint="eastAsia" w:ascii="仿宋" w:hAnsi="仿宋" w:eastAsia="仿宋" w:cs="仿宋"/>
                <w:color w:val="auto"/>
                <w:highlight w:val="none"/>
              </w:rPr>
              <w:t>，40m³92#汽油储罐1</w:t>
            </w:r>
            <w:r>
              <w:rPr>
                <w:rFonts w:hint="eastAsia" w:ascii="仿宋" w:hAnsi="仿宋" w:eastAsia="仿宋" w:cs="仿宋"/>
                <w:color w:val="auto"/>
                <w:highlight w:val="none"/>
                <w:lang w:val="en-US" w:eastAsia="zh-CN"/>
              </w:rPr>
              <w:t>个</w:t>
            </w:r>
            <w:r>
              <w:rPr>
                <w:rFonts w:hint="eastAsia" w:ascii="仿宋" w:hAnsi="仿宋" w:eastAsia="仿宋" w:cs="仿宋"/>
                <w:color w:val="auto"/>
                <w:highlight w:val="none"/>
              </w:rPr>
              <w:t>，40m³95#汽油储罐1</w:t>
            </w:r>
            <w:r>
              <w:rPr>
                <w:rFonts w:hint="eastAsia" w:ascii="仿宋" w:hAnsi="仿宋" w:eastAsia="仿宋" w:cs="仿宋"/>
                <w:color w:val="auto"/>
                <w:highlight w:val="none"/>
                <w:lang w:val="en-US" w:eastAsia="zh-CN"/>
              </w:rPr>
              <w:t>个</w:t>
            </w:r>
            <w:r>
              <w:rPr>
                <w:rFonts w:hint="eastAsia" w:ascii="仿宋" w:hAnsi="仿宋" w:eastAsia="仿宋" w:cs="仿宋"/>
                <w:color w:val="auto"/>
                <w:highlight w:val="none"/>
              </w:rPr>
              <w:t>，总容量为120m³，柴油折半计入总容积为100m³；</w:t>
            </w:r>
            <w:r>
              <w:rPr>
                <w:rFonts w:hint="eastAsia" w:ascii="仿宋" w:hAnsi="仿宋" w:eastAsia="仿宋" w:cs="仿宋"/>
                <w:color w:val="auto"/>
                <w:highlight w:val="none"/>
                <w:lang w:val="en-US" w:eastAsia="zh-CN"/>
              </w:rPr>
              <w:t>根据《汽车加油加气加氢站技术标准》（GB50156-2021），</w:t>
            </w:r>
            <w:r>
              <w:rPr>
                <w:rFonts w:hint="eastAsia" w:ascii="仿宋" w:hAnsi="仿宋" w:eastAsia="仿宋" w:cs="仿宋"/>
                <w:color w:val="auto"/>
                <w:highlight w:val="none"/>
                <w:lang w:eastAsia="zh-CN"/>
              </w:rPr>
              <w:t>为</w:t>
            </w:r>
            <w:r>
              <w:rPr>
                <w:rFonts w:hint="eastAsia" w:ascii="仿宋" w:hAnsi="仿宋" w:eastAsia="仿宋" w:cs="仿宋"/>
                <w:color w:val="auto"/>
                <w:highlight w:val="none"/>
              </w:rPr>
              <w:t>二级加油站。</w:t>
            </w:r>
          </w:p>
          <w:p>
            <w:pPr>
              <w:spacing w:line="240" w:lineRule="auto"/>
              <w:ind w:firstLine="420" w:firstLineChars="200"/>
              <w:jc w:val="left"/>
              <w:rPr>
                <w:rFonts w:hint="eastAsia" w:ascii="仿宋" w:hAnsi="仿宋" w:eastAsia="仿宋" w:cs="仿宋"/>
                <w:color w:val="auto"/>
                <w:lang w:val="en-US" w:eastAsia="zh-CN"/>
              </w:rPr>
            </w:pPr>
            <w:r>
              <w:rPr>
                <w:rFonts w:hint="eastAsia" w:ascii="仿宋" w:hAnsi="仿宋" w:eastAsia="仿宋" w:cs="仿宋"/>
                <w:color w:val="auto"/>
                <w:highlight w:val="none"/>
                <w:lang w:val="en-US" w:eastAsia="zh-CN"/>
              </w:rPr>
              <w:t>思南南收费站加油站</w:t>
            </w:r>
            <w:r>
              <w:rPr>
                <w:rFonts w:hint="eastAsia" w:ascii="仿宋" w:hAnsi="仿宋" w:eastAsia="仿宋" w:cs="仿宋"/>
                <w:color w:val="auto"/>
                <w:highlight w:val="none"/>
              </w:rPr>
              <w:t>建设竣工后，委托</w:t>
            </w:r>
            <w:r>
              <w:rPr>
                <w:rFonts w:hint="eastAsia" w:ascii="仿宋" w:hAnsi="仿宋" w:eastAsia="仿宋" w:cs="仿宋"/>
                <w:color w:val="auto"/>
                <w:highlight w:val="none"/>
                <w:lang w:eastAsia="zh-CN"/>
              </w:rPr>
              <w:t>黔东南州雷盾防雷检测有限公司铜仁分公司</w:t>
            </w:r>
            <w:r>
              <w:rPr>
                <w:rFonts w:hint="eastAsia" w:ascii="仿宋" w:hAnsi="仿宋" w:eastAsia="仿宋" w:cs="仿宋"/>
                <w:color w:val="auto"/>
                <w:highlight w:val="none"/>
                <w:lang w:val="en-US" w:eastAsia="zh-CN"/>
              </w:rPr>
              <w:t>进行了防雷装置检测，</w:t>
            </w:r>
            <w:r>
              <w:rPr>
                <w:rFonts w:hint="eastAsia" w:ascii="仿宋" w:hAnsi="仿宋" w:eastAsia="仿宋" w:cs="仿宋"/>
                <w:color w:val="auto"/>
                <w:highlight w:val="none"/>
              </w:rPr>
              <w:t>出具了《</w:t>
            </w:r>
            <w:r>
              <w:rPr>
                <w:rFonts w:hint="eastAsia" w:ascii="仿宋" w:hAnsi="仿宋" w:eastAsia="仿宋" w:cs="仿宋"/>
                <w:color w:val="auto"/>
                <w:highlight w:val="none"/>
                <w:lang w:eastAsia="zh-CN"/>
              </w:rPr>
              <w:t>贵州省加油站</w:t>
            </w:r>
            <w:r>
              <w:rPr>
                <w:rFonts w:hint="eastAsia" w:ascii="仿宋" w:hAnsi="仿宋" w:eastAsia="仿宋" w:cs="仿宋"/>
                <w:color w:val="auto"/>
                <w:highlight w:val="none"/>
                <w:lang w:val="en-US" w:eastAsia="zh-CN"/>
              </w:rPr>
              <w:t>雷电防护</w:t>
            </w:r>
            <w:r>
              <w:rPr>
                <w:rFonts w:hint="eastAsia" w:ascii="仿宋" w:hAnsi="仿宋" w:eastAsia="仿宋" w:cs="仿宋"/>
                <w:color w:val="auto"/>
                <w:highlight w:val="none"/>
                <w:lang w:eastAsia="zh-CN"/>
              </w:rPr>
              <w:t>装置检测报告</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黔雷盾-1242017008-2023-TR-SN115</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有效期至202</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lang w:eastAsia="zh-CN"/>
              </w:rPr>
              <w:t>年</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lang w:eastAsia="zh-CN"/>
              </w:rPr>
              <w:t>月</w:t>
            </w:r>
            <w:r>
              <w:rPr>
                <w:rFonts w:hint="eastAsia" w:ascii="仿宋" w:hAnsi="仿宋" w:eastAsia="仿宋" w:cs="仿宋"/>
                <w:color w:val="auto"/>
                <w:highlight w:val="none"/>
                <w:lang w:val="en-US" w:eastAsia="zh-CN"/>
              </w:rPr>
              <w:t>18</w:t>
            </w:r>
            <w:r>
              <w:rPr>
                <w:rFonts w:hint="eastAsia" w:ascii="仿宋" w:hAnsi="仿宋" w:eastAsia="仿宋" w:cs="仿宋"/>
                <w:color w:val="auto"/>
                <w:highlight w:val="none"/>
                <w:lang w:eastAsia="zh-CN"/>
              </w:rPr>
              <w:t>日</w:t>
            </w:r>
            <w:r>
              <w:rPr>
                <w:rFonts w:hint="eastAsia" w:ascii="仿宋" w:hAnsi="仿宋" w:eastAsia="仿宋" w:cs="仿宋"/>
                <w:color w:val="auto"/>
                <w:highlight w:val="none"/>
              </w:rPr>
              <w:t>。</w:t>
            </w:r>
          </w:p>
          <w:bookmarkEnd w:id="1"/>
          <w:p>
            <w:pPr>
              <w:spacing w:line="240" w:lineRule="auto"/>
              <w:jc w:val="left"/>
              <w:rPr>
                <w:rFonts w:hint="default" w:ascii="仿宋" w:hAnsi="仿宋" w:eastAsia="仿宋" w:cs="仿宋"/>
              </w:rPr>
            </w:pPr>
            <w:r>
              <w:rPr>
                <w:rFonts w:hint="default" w:ascii="仿宋" w:hAnsi="仿宋" w:eastAsia="仿宋" w:cs="仿宋"/>
                <w:lang w:val="en-US" w:eastAsia="zh-CN"/>
              </w:rPr>
              <w:t>二、</w:t>
            </w:r>
            <w:r>
              <w:rPr>
                <w:rFonts w:hint="default" w:ascii="仿宋" w:hAnsi="仿宋" w:eastAsia="仿宋" w:cs="仿宋"/>
              </w:rPr>
              <w:t>主要危险、有害因素</w:t>
            </w:r>
          </w:p>
          <w:p>
            <w:pPr>
              <w:spacing w:line="240" w:lineRule="auto"/>
              <w:ind w:firstLine="420" w:firstLineChars="200"/>
              <w:jc w:val="left"/>
              <w:rPr>
                <w:rFonts w:hint="eastAsia" w:ascii="仿宋" w:hAnsi="仿宋" w:eastAsia="仿宋" w:cs="仿宋"/>
                <w:snapToGrid/>
                <w:color w:val="auto"/>
                <w:kern w:val="2"/>
                <w:lang w:val="en-US"/>
              </w:rPr>
            </w:pPr>
            <w:r>
              <w:rPr>
                <w:rFonts w:hint="eastAsia" w:ascii="仿宋" w:hAnsi="仿宋" w:eastAsia="仿宋" w:cs="仿宋"/>
                <w:color w:val="auto"/>
                <w:lang w:val="en-US"/>
              </w:rPr>
              <w:t>本项目</w:t>
            </w:r>
            <w:r>
              <w:rPr>
                <w:rFonts w:hint="eastAsia" w:ascii="仿宋" w:hAnsi="仿宋" w:eastAsia="仿宋" w:cs="仿宋"/>
                <w:color w:val="auto"/>
                <w:lang w:val="en-US" w:eastAsia="zh-CN"/>
              </w:rPr>
              <w:t>生产涉及的</w:t>
            </w:r>
            <w:r>
              <w:rPr>
                <w:rFonts w:hint="eastAsia" w:ascii="仿宋" w:hAnsi="仿宋" w:eastAsia="仿宋" w:cs="仿宋"/>
                <w:color w:val="auto"/>
                <w:lang w:val="en-US"/>
              </w:rPr>
              <w:t>危险化学品</w:t>
            </w:r>
            <w:r>
              <w:rPr>
                <w:rFonts w:hint="eastAsia" w:ascii="仿宋" w:hAnsi="仿宋" w:eastAsia="仿宋" w:cs="仿宋"/>
                <w:color w:val="auto"/>
                <w:lang w:val="en-US" w:eastAsia="zh-CN"/>
              </w:rPr>
              <w:t>有：</w:t>
            </w:r>
            <w:r>
              <w:rPr>
                <w:rFonts w:hint="eastAsia" w:ascii="仿宋" w:hAnsi="仿宋" w:eastAsia="仿宋" w:cs="仿宋"/>
                <w:color w:val="auto"/>
                <w:lang w:val="zh-CN"/>
              </w:rPr>
              <w:t>汽油</w:t>
            </w:r>
            <w:r>
              <w:rPr>
                <w:rFonts w:hint="eastAsia" w:ascii="仿宋" w:hAnsi="仿宋" w:eastAsia="仿宋" w:cs="仿宋"/>
                <w:color w:val="auto"/>
                <w:lang w:val="zh-CN" w:eastAsia="zh-CN"/>
              </w:rPr>
              <w:t>、柴油</w:t>
            </w:r>
            <w:r>
              <w:rPr>
                <w:rFonts w:hint="eastAsia" w:ascii="仿宋" w:hAnsi="仿宋" w:eastAsia="仿宋" w:cs="仿宋"/>
                <w:color w:val="auto"/>
                <w:lang w:val="en-US" w:eastAsia="zh-CN"/>
              </w:rPr>
              <w:t>。其中，</w:t>
            </w:r>
            <w:r>
              <w:rPr>
                <w:rFonts w:hint="eastAsia" w:ascii="仿宋" w:hAnsi="仿宋" w:eastAsia="仿宋" w:cs="仿宋"/>
                <w:color w:val="auto"/>
                <w:lang w:val="zh-CN"/>
              </w:rPr>
              <w:t>汽油属于重点监管的危险化学品</w:t>
            </w:r>
            <w:r>
              <w:rPr>
                <w:rFonts w:hint="eastAsia" w:ascii="仿宋" w:hAnsi="仿宋" w:eastAsia="仿宋" w:cs="仿宋"/>
                <w:color w:val="auto"/>
                <w:lang w:val="zh-CN" w:eastAsia="zh-CN"/>
              </w:rPr>
              <w:t>、特别管控的危险化学品</w:t>
            </w:r>
            <w:r>
              <w:rPr>
                <w:rFonts w:hint="eastAsia" w:ascii="仿宋" w:hAnsi="仿宋" w:eastAsia="仿宋" w:cs="仿宋"/>
                <w:color w:val="auto"/>
                <w:lang w:val="zh-CN"/>
              </w:rPr>
              <w:t>。</w:t>
            </w:r>
            <w:r>
              <w:rPr>
                <w:rFonts w:hint="eastAsia" w:ascii="仿宋" w:hAnsi="仿宋" w:eastAsia="仿宋" w:cs="仿宋"/>
                <w:color w:val="auto"/>
                <w:lang w:val="en-US" w:eastAsia="zh-CN"/>
              </w:rPr>
              <w:t>不涉及剧毒化学品和易制毒化学品、易制爆化学品。</w:t>
            </w:r>
            <w:r>
              <w:rPr>
                <w:rFonts w:hint="eastAsia" w:ascii="仿宋" w:hAnsi="仿宋" w:eastAsia="仿宋" w:cs="仿宋"/>
                <w:snapToGrid/>
                <w:color w:val="auto"/>
                <w:kern w:val="2"/>
                <w:lang w:val="en-US"/>
              </w:rPr>
              <w:t>不构成</w:t>
            </w:r>
            <w:r>
              <w:rPr>
                <w:rFonts w:hint="eastAsia" w:ascii="仿宋" w:hAnsi="仿宋" w:eastAsia="仿宋" w:cs="仿宋"/>
                <w:snapToGrid/>
                <w:color w:val="auto"/>
                <w:kern w:val="2"/>
                <w:szCs w:val="20"/>
                <w:lang w:val="en-US"/>
              </w:rPr>
              <w:t>危险化学品重大危险源</w:t>
            </w:r>
            <w:r>
              <w:rPr>
                <w:rFonts w:hint="eastAsia" w:ascii="仿宋" w:hAnsi="仿宋" w:eastAsia="仿宋" w:cs="仿宋"/>
                <w:snapToGrid/>
                <w:color w:val="auto"/>
                <w:kern w:val="2"/>
                <w:szCs w:val="20"/>
                <w:lang w:val="en-US" w:eastAsia="zh-CN"/>
              </w:rPr>
              <w:t>。</w:t>
            </w:r>
          </w:p>
          <w:p>
            <w:pPr>
              <w:spacing w:line="240" w:lineRule="auto"/>
              <w:ind w:firstLine="420" w:firstLineChars="200"/>
              <w:jc w:val="left"/>
              <w:rPr>
                <w:rFonts w:hint="eastAsia" w:ascii="仿宋" w:hAnsi="仿宋" w:eastAsia="仿宋" w:cs="仿宋"/>
                <w:snapToGrid/>
                <w:color w:val="auto"/>
                <w:kern w:val="2"/>
                <w:lang w:val="en-US"/>
              </w:rPr>
            </w:pPr>
            <w:r>
              <w:rPr>
                <w:rFonts w:hint="eastAsia" w:ascii="仿宋" w:hAnsi="仿宋" w:eastAsia="仿宋" w:cs="仿宋"/>
                <w:snapToGrid/>
                <w:color w:val="auto"/>
                <w:kern w:val="2"/>
                <w:lang w:val="en-US" w:eastAsia="zh-CN"/>
              </w:rPr>
              <w:t>潜在的危险有害因素有：油品</w:t>
            </w:r>
            <w:r>
              <w:rPr>
                <w:rFonts w:hint="eastAsia" w:ascii="仿宋" w:hAnsi="仿宋" w:eastAsia="仿宋" w:cs="仿宋"/>
                <w:snapToGrid/>
                <w:color w:val="auto"/>
                <w:kern w:val="2"/>
                <w:highlight w:val="none"/>
                <w:lang w:val="en-US"/>
              </w:rPr>
              <w:t>泄漏</w:t>
            </w:r>
            <w:r>
              <w:rPr>
                <w:rFonts w:hint="eastAsia" w:ascii="仿宋" w:hAnsi="仿宋" w:eastAsia="仿宋" w:cs="仿宋"/>
                <w:snapToGrid/>
                <w:color w:val="auto"/>
                <w:kern w:val="2"/>
                <w:highlight w:val="none"/>
                <w:lang w:val="en-US" w:eastAsia="zh-CN"/>
              </w:rPr>
              <w:t>、</w:t>
            </w:r>
            <w:r>
              <w:rPr>
                <w:rFonts w:hint="eastAsia" w:ascii="仿宋" w:hAnsi="仿宋" w:eastAsia="仿宋" w:cs="仿宋"/>
                <w:snapToGrid/>
                <w:color w:val="auto"/>
                <w:kern w:val="2"/>
                <w:highlight w:val="none"/>
                <w:lang w:val="en-US"/>
              </w:rPr>
              <w:t>火灾、爆炸</w:t>
            </w:r>
            <w:r>
              <w:rPr>
                <w:rFonts w:hint="eastAsia" w:ascii="仿宋" w:hAnsi="仿宋" w:eastAsia="仿宋" w:cs="仿宋"/>
                <w:snapToGrid/>
                <w:color w:val="auto"/>
                <w:kern w:val="2"/>
                <w:highlight w:val="none"/>
                <w:lang w:val="en-US" w:eastAsia="zh-CN"/>
              </w:rPr>
              <w:t>、车辆伤害</w:t>
            </w:r>
            <w:r>
              <w:rPr>
                <w:rFonts w:hint="eastAsia" w:ascii="仿宋" w:hAnsi="仿宋" w:eastAsia="仿宋" w:cs="仿宋"/>
                <w:snapToGrid/>
                <w:color w:val="auto"/>
                <w:kern w:val="2"/>
                <w:lang w:val="en-US" w:eastAsia="zh-CN"/>
              </w:rPr>
              <w:t>、触电</w:t>
            </w:r>
            <w:r>
              <w:rPr>
                <w:rFonts w:hint="eastAsia" w:ascii="仿宋" w:hAnsi="仿宋" w:eastAsia="仿宋" w:cs="仿宋"/>
                <w:snapToGrid/>
                <w:color w:val="auto"/>
                <w:kern w:val="2"/>
                <w:highlight w:val="none"/>
                <w:lang w:val="en-US" w:eastAsia="zh-CN"/>
              </w:rPr>
              <w:t>、高处坠落、坍塌</w:t>
            </w:r>
            <w:r>
              <w:rPr>
                <w:rFonts w:hint="eastAsia" w:ascii="仿宋" w:hAnsi="仿宋" w:eastAsia="仿宋" w:cs="仿宋"/>
                <w:snapToGrid/>
                <w:color w:val="auto"/>
                <w:kern w:val="2"/>
                <w:lang w:val="en-US"/>
              </w:rPr>
              <w:t>。</w:t>
            </w:r>
          </w:p>
          <w:p>
            <w:pPr>
              <w:spacing w:line="240" w:lineRule="auto"/>
              <w:ind w:firstLine="0"/>
              <w:jc w:val="left"/>
              <w:rPr>
                <w:rFonts w:hint="eastAsia" w:ascii="仿宋" w:hAnsi="仿宋" w:eastAsia="仿宋" w:cs="仿宋"/>
                <w:snapToGrid/>
                <w:color w:val="auto"/>
                <w:kern w:val="2"/>
                <w:lang w:val="zh-CN"/>
              </w:rPr>
            </w:pPr>
            <w:r>
              <w:rPr>
                <w:rFonts w:hint="eastAsia" w:ascii="仿宋" w:hAnsi="仿宋" w:eastAsia="仿宋" w:cs="仿宋"/>
                <w:b w:val="0"/>
                <w:bCs w:val="0"/>
                <w:color w:val="auto"/>
                <w:sz w:val="21"/>
                <w:szCs w:val="20"/>
                <w:lang w:val="zh-CN" w:eastAsia="zh-CN"/>
              </w:rPr>
              <w:t>三、</w:t>
            </w:r>
            <w:r>
              <w:rPr>
                <w:rFonts w:hint="eastAsia" w:ascii="仿宋" w:hAnsi="仿宋" w:eastAsia="仿宋" w:cs="仿宋"/>
                <w:color w:val="auto"/>
                <w:lang w:val="zh-CN" w:eastAsia="zh-CN"/>
              </w:rPr>
              <w:t>安全评价单元划分</w:t>
            </w:r>
          </w:p>
          <w:p>
            <w:pPr>
              <w:spacing w:line="240" w:lineRule="auto"/>
              <w:ind w:firstLine="420" w:firstLineChars="200"/>
              <w:jc w:val="left"/>
              <w:rPr>
                <w:rFonts w:hint="eastAsia" w:ascii="仿宋" w:hAnsi="仿宋" w:eastAsia="仿宋" w:cs="仿宋"/>
                <w:color w:val="auto"/>
                <w:lang w:val="en-US"/>
              </w:rPr>
            </w:pPr>
            <w:r>
              <w:rPr>
                <w:rFonts w:hint="eastAsia" w:ascii="仿宋" w:hAnsi="仿宋" w:eastAsia="仿宋" w:cs="仿宋"/>
                <w:snapToGrid/>
                <w:color w:val="auto"/>
                <w:kern w:val="2"/>
                <w:highlight w:val="none"/>
                <w:lang w:val="en-US"/>
              </w:rPr>
              <w:t>依据《危险化学品建设项目安全评价细则（试行）》（安监总危化〔2007〕255号）规定的安全评价单元划分原则，根据本项目的实际情况和安全评价的需要，在分析主要危险、有害因素的基础上，将本项目划分为</w:t>
            </w:r>
            <w:r>
              <w:rPr>
                <w:rFonts w:hint="eastAsia" w:ascii="仿宋" w:hAnsi="仿宋" w:eastAsia="仿宋" w:cs="仿宋"/>
                <w:snapToGrid/>
                <w:color w:val="auto"/>
                <w:kern w:val="2"/>
                <w:lang w:val="en-US"/>
              </w:rPr>
              <w:t>外部安全条件单元</w:t>
            </w:r>
            <w:r>
              <w:rPr>
                <w:rFonts w:hint="eastAsia" w:ascii="仿宋" w:hAnsi="仿宋" w:eastAsia="仿宋" w:cs="仿宋"/>
                <w:snapToGrid/>
                <w:color w:val="auto"/>
                <w:kern w:val="2"/>
                <w:lang w:val="en-US" w:eastAsia="zh-CN"/>
              </w:rPr>
              <w:t>、</w:t>
            </w:r>
            <w:r>
              <w:rPr>
                <w:rFonts w:hint="eastAsia" w:ascii="仿宋" w:hAnsi="仿宋" w:eastAsia="仿宋" w:cs="仿宋"/>
                <w:snapToGrid/>
                <w:color w:val="auto"/>
                <w:kern w:val="2"/>
                <w:lang w:val="en-US"/>
              </w:rPr>
              <w:t>总平面布置单元、主要装置（设施）单元、公用工程及辅助设施单元、安全管理单元，</w:t>
            </w:r>
            <w:r>
              <w:rPr>
                <w:rFonts w:hint="eastAsia" w:ascii="仿宋" w:hAnsi="仿宋" w:eastAsia="仿宋" w:cs="仿宋"/>
                <w:snapToGrid/>
                <w:color w:val="auto"/>
                <w:kern w:val="2"/>
                <w:lang w:val="en-US" w:eastAsia="zh-CN"/>
              </w:rPr>
              <w:t>共</w:t>
            </w:r>
            <w:r>
              <w:rPr>
                <w:rFonts w:hint="eastAsia" w:ascii="仿宋" w:hAnsi="仿宋" w:eastAsia="仿宋" w:cs="仿宋"/>
                <w:snapToGrid/>
                <w:color w:val="auto"/>
                <w:kern w:val="2"/>
                <w:highlight w:val="none"/>
                <w:lang w:val="en-US"/>
              </w:rPr>
              <w:t>5个安全评价单元</w:t>
            </w:r>
            <w:r>
              <w:rPr>
                <w:rFonts w:hint="eastAsia" w:ascii="仿宋" w:hAnsi="仿宋" w:eastAsia="仿宋" w:cs="仿宋"/>
                <w:snapToGrid/>
                <w:color w:val="auto"/>
                <w:kern w:val="2"/>
                <w:lang w:val="en-US"/>
              </w:rPr>
              <w:t>。</w:t>
            </w:r>
          </w:p>
          <w:p>
            <w:pPr>
              <w:spacing w:line="240" w:lineRule="auto"/>
              <w:ind w:firstLine="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四、评价结论</w:t>
            </w:r>
          </w:p>
          <w:p>
            <w:pPr>
              <w:spacing w:line="240" w:lineRule="auto"/>
              <w:ind w:firstLine="420" w:firstLineChars="200"/>
              <w:jc w:val="left"/>
              <w:rPr>
                <w:rFonts w:hint="eastAsia" w:ascii="仿宋" w:hAnsi="仿宋" w:eastAsia="仿宋" w:cs="仿宋"/>
                <w:color w:val="auto"/>
                <w:lang w:val="en-US" w:eastAsia="zh-CN"/>
              </w:rPr>
            </w:pPr>
            <w:r>
              <w:rPr>
                <w:rFonts w:hint="eastAsia" w:ascii="仿宋" w:hAnsi="仿宋" w:eastAsia="仿宋" w:cs="仿宋"/>
                <w:b w:val="0"/>
                <w:bCs w:val="0"/>
                <w:color w:val="auto"/>
                <w:lang w:val="en-US" w:eastAsia="zh-CN"/>
              </w:rPr>
              <w:t>贵州高速投资集团有限公司思南南收费站加油站新建项目</w:t>
            </w:r>
            <w:r>
              <w:rPr>
                <w:rFonts w:hint="eastAsia" w:ascii="仿宋" w:hAnsi="仿宋" w:eastAsia="仿宋" w:cs="仿宋"/>
                <w:b w:val="0"/>
                <w:bCs w:val="0"/>
                <w:color w:val="auto"/>
                <w:sz w:val="21"/>
                <w:szCs w:val="20"/>
                <w:lang w:val="en-US"/>
              </w:rPr>
              <w:t>安全设施与主体工程同时设计、同时施工、同时投入使用，</w:t>
            </w:r>
            <w:r>
              <w:rPr>
                <w:rFonts w:hint="eastAsia" w:ascii="仿宋" w:hAnsi="仿宋" w:eastAsia="仿宋" w:cs="仿宋"/>
                <w:b w:val="0"/>
                <w:bCs w:val="0"/>
                <w:color w:val="auto"/>
                <w:lang w:val="en-US"/>
              </w:rPr>
              <w:t>具备国家现行有关安全生产</w:t>
            </w:r>
            <w:r>
              <w:rPr>
                <w:rFonts w:hint="eastAsia" w:ascii="仿宋" w:hAnsi="仿宋" w:eastAsia="仿宋" w:cs="仿宋"/>
                <w:b w:val="0"/>
                <w:bCs w:val="0"/>
                <w:color w:val="auto"/>
                <w:lang w:val="en-US" w:eastAsia="zh-CN"/>
              </w:rPr>
              <w:t>法律法规和</w:t>
            </w:r>
            <w:r>
              <w:rPr>
                <w:rFonts w:hint="eastAsia" w:ascii="仿宋" w:hAnsi="仿宋" w:eastAsia="仿宋" w:cs="仿宋"/>
                <w:b w:val="0"/>
                <w:bCs w:val="0"/>
                <w:color w:val="auto"/>
                <w:lang w:val="en-US"/>
              </w:rPr>
              <w:t>部门规章</w:t>
            </w:r>
            <w:r>
              <w:rPr>
                <w:rFonts w:hint="eastAsia" w:ascii="仿宋" w:hAnsi="仿宋" w:eastAsia="仿宋" w:cs="仿宋"/>
                <w:b w:val="0"/>
                <w:bCs w:val="0"/>
                <w:color w:val="auto"/>
                <w:lang w:val="en-US" w:eastAsia="zh-CN"/>
              </w:rPr>
              <w:t>及</w:t>
            </w:r>
            <w:r>
              <w:rPr>
                <w:rFonts w:hint="eastAsia" w:ascii="仿宋" w:hAnsi="仿宋" w:eastAsia="仿宋" w:cs="仿宋"/>
                <w:b w:val="0"/>
                <w:bCs w:val="0"/>
                <w:color w:val="auto"/>
                <w:lang w:val="en-US"/>
              </w:rPr>
              <w:t>标准规定</w:t>
            </w:r>
            <w:r>
              <w:rPr>
                <w:rFonts w:hint="eastAsia" w:ascii="仿宋" w:hAnsi="仿宋" w:eastAsia="仿宋" w:cs="仿宋"/>
                <w:b w:val="0"/>
                <w:bCs w:val="0"/>
                <w:color w:val="auto"/>
                <w:lang w:val="en-US" w:eastAsia="zh-CN"/>
              </w:rPr>
              <w:t>和</w:t>
            </w:r>
            <w:r>
              <w:rPr>
                <w:rFonts w:hint="eastAsia" w:ascii="仿宋" w:hAnsi="仿宋" w:eastAsia="仿宋" w:cs="仿宋"/>
                <w:b w:val="0"/>
                <w:bCs w:val="0"/>
                <w:color w:val="auto"/>
                <w:lang w:val="en-US"/>
              </w:rPr>
              <w:t>要求的安全生产条件。</w:t>
            </w:r>
          </w:p>
          <w:p>
            <w:pPr>
              <w:spacing w:line="240" w:lineRule="auto"/>
              <w:ind w:firstLine="0" w:firstLineChars="0"/>
              <w:jc w:val="left"/>
              <w:rPr>
                <w:rFonts w:hint="eastAsia" w:ascii="仿宋" w:hAnsi="仿宋" w:eastAsia="仿宋" w:cs="仿宋"/>
                <w:color w:val="auto"/>
                <w:lang w:val="en-US" w:eastAsia="zh-CN"/>
              </w:rPr>
            </w:pPr>
            <w:r>
              <w:rPr>
                <w:rFonts w:hint="eastAsia" w:ascii="仿宋" w:hAnsi="仿宋" w:eastAsia="仿宋" w:cs="仿宋"/>
                <w:color w:val="auto"/>
                <w:lang w:val="en-US" w:eastAsia="zh-CN"/>
              </w:rPr>
              <w:t>现场勘察照片：</w:t>
            </w:r>
          </w:p>
          <w:p>
            <w:pPr>
              <w:spacing w:line="240" w:lineRule="auto"/>
              <w:ind w:firstLine="0" w:firstLineChars="0"/>
              <w:jc w:val="left"/>
              <w:rPr>
                <w:rFonts w:hint="eastAsia" w:ascii="Calibri" w:hAnsi="Calibri" w:eastAsia="宋体" w:cs="Times New Roman"/>
                <w:lang w:val="en-US" w:eastAsia="zh-CN"/>
              </w:rPr>
            </w:pPr>
          </w:p>
          <w:p>
            <w:pPr>
              <w:jc w:val="center"/>
              <w:rPr>
                <w:rFonts w:hint="eastAsia" w:eastAsia="宋体"/>
                <w:lang w:eastAsia="zh-CN"/>
              </w:rPr>
            </w:pPr>
            <w:r>
              <w:drawing>
                <wp:inline distT="0" distB="0" distL="114300" distR="114300">
                  <wp:extent cx="3686175" cy="54578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686175" cy="5457825"/>
                          </a:xfrm>
                          <a:prstGeom prst="rect">
                            <a:avLst/>
                          </a:prstGeom>
                          <a:noFill/>
                          <a:ln>
                            <a:noFill/>
                          </a:ln>
                        </pic:spPr>
                      </pic:pic>
                    </a:graphicData>
                  </a:graphic>
                </wp:inline>
              </w:drawing>
            </w:r>
            <w:r>
              <w:rPr>
                <w:rFonts w:hint="eastAsia"/>
                <w:color w:val="auto"/>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现场开展工作情况</w:t>
            </w:r>
          </w:p>
        </w:tc>
        <w:tc>
          <w:tcPr>
            <w:tcW w:w="598" w:type="pct"/>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勘验人员</w:t>
            </w:r>
          </w:p>
        </w:tc>
        <w:tc>
          <w:tcPr>
            <w:tcW w:w="0" w:type="auto"/>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勘验时间</w:t>
            </w:r>
          </w:p>
        </w:tc>
        <w:tc>
          <w:tcPr>
            <w:tcW w:w="0" w:type="auto"/>
            <w:gridSpan w:val="3"/>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勘验任务</w:t>
            </w:r>
          </w:p>
        </w:tc>
        <w:tc>
          <w:tcPr>
            <w:tcW w:w="0" w:type="auto"/>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240" w:lineRule="auto"/>
              <w:jc w:val="center"/>
              <w:rPr>
                <w:rFonts w:ascii="仿宋" w:hAnsi="仿宋" w:eastAsia="仿宋"/>
                <w:color w:val="auto"/>
                <w:szCs w:val="21"/>
              </w:rPr>
            </w:pPr>
          </w:p>
        </w:tc>
        <w:tc>
          <w:tcPr>
            <w:tcW w:w="598" w:type="pct"/>
            <w:gridSpan w:val="2"/>
            <w:tcBorders>
              <w:tl2br w:val="nil"/>
              <w:tr2bl w:val="nil"/>
            </w:tcBorders>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陈红旭</w:t>
            </w:r>
          </w:p>
        </w:tc>
        <w:tc>
          <w:tcPr>
            <w:tcW w:w="0" w:type="auto"/>
            <w:gridSpan w:val="2"/>
            <w:tcBorders>
              <w:tl2br w:val="nil"/>
              <w:tr2bl w:val="nil"/>
            </w:tcBorders>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2024.01.02</w:t>
            </w:r>
          </w:p>
        </w:tc>
        <w:tc>
          <w:tcPr>
            <w:tcW w:w="0" w:type="auto"/>
            <w:gridSpan w:val="3"/>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0" w:type="auto"/>
            <w:gridSpan w:val="2"/>
            <w:vMerge w:val="restart"/>
            <w:tcBorders>
              <w:tl2br w:val="nil"/>
              <w:tr2bl w:val="nil"/>
            </w:tcBorders>
            <w:vAlign w:val="center"/>
          </w:tcPr>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卸油区消防沙箱、消防器材箱、危废箱箱门、箱盖未跨接。</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卸油区未配备</w:t>
            </w:r>
            <w:r>
              <w:rPr>
                <w:rFonts w:hint="eastAsia" w:cs="Times New Roman"/>
                <w:highlight w:val="none"/>
              </w:rPr>
              <w:t>消防锹、消防桶</w:t>
            </w:r>
            <w:r>
              <w:rPr>
                <w:rFonts w:hint="eastAsia" w:cs="Times New Roman"/>
                <w:highlight w:val="none"/>
                <w:lang w:val="en-US" w:eastAsia="zh-CN"/>
              </w:rPr>
              <w:t>和灭火器。</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通气管无标识。</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加油机底部未填沙。</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加油机未配备灭火器、灭火毯。</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配电室未设置绝缘胶垫、未配备灭火器、门未设置挡鼠板。</w:t>
            </w:r>
          </w:p>
          <w:p>
            <w:pPr>
              <w:widowControl/>
              <w:numPr>
                <w:ilvl w:val="0"/>
                <w:numId w:val="1"/>
              </w:numPr>
              <w:spacing w:line="240" w:lineRule="auto"/>
              <w:ind w:firstLine="0" w:firstLineChars="0"/>
              <w:jc w:val="left"/>
              <w:rPr>
                <w:rFonts w:hint="eastAsia" w:ascii="仿宋" w:hAnsi="仿宋" w:eastAsia="仿宋" w:cs="Times New Roman"/>
                <w:color w:val="auto"/>
                <w:szCs w:val="21"/>
                <w:lang w:val="en-US" w:eastAsia="zh-CN"/>
              </w:rPr>
            </w:pPr>
            <w:r>
              <w:rPr>
                <w:rFonts w:hint="eastAsia"/>
                <w:highlight w:val="none"/>
                <w:lang w:val="en-US" w:eastAsia="zh-CN"/>
              </w:rPr>
              <w:t>柴油发电机房未配备灭火器。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240" w:lineRule="auto"/>
              <w:jc w:val="center"/>
              <w:rPr>
                <w:rFonts w:ascii="仿宋" w:hAnsi="仿宋" w:eastAsia="仿宋"/>
                <w:color w:val="auto"/>
                <w:szCs w:val="21"/>
              </w:rPr>
            </w:pPr>
          </w:p>
        </w:tc>
        <w:tc>
          <w:tcPr>
            <w:tcW w:w="598" w:type="pct"/>
            <w:gridSpan w:val="2"/>
            <w:tcBorders>
              <w:tl2br w:val="nil"/>
              <w:tr2bl w:val="nil"/>
            </w:tcBorders>
            <w:vAlign w:val="center"/>
          </w:tcPr>
          <w:p>
            <w:pPr>
              <w:spacing w:line="240" w:lineRule="auto"/>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余兆鸿</w:t>
            </w:r>
          </w:p>
        </w:tc>
        <w:tc>
          <w:tcPr>
            <w:tcW w:w="0" w:type="auto"/>
            <w:gridSpan w:val="2"/>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2024.01.02</w:t>
            </w:r>
          </w:p>
        </w:tc>
        <w:tc>
          <w:tcPr>
            <w:tcW w:w="0" w:type="auto"/>
            <w:gridSpan w:val="3"/>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0" w:type="auto"/>
            <w:gridSpan w:val="2"/>
            <w:vMerge w:val="continue"/>
            <w:tcBorders>
              <w:tl2br w:val="nil"/>
              <w:tr2bl w:val="nil"/>
            </w:tcBorders>
            <w:vAlign w:val="center"/>
          </w:tcPr>
          <w:p>
            <w:pPr>
              <w:widowControl/>
              <w:numPr>
                <w:ilvl w:val="-1"/>
                <w:numId w:val="0"/>
              </w:numPr>
              <w:spacing w:line="240" w:lineRule="auto"/>
              <w:ind w:firstLine="0" w:firstLineChars="0"/>
              <w:jc w:val="left"/>
              <w:rPr>
                <w:rFonts w:hint="eastAsia" w:ascii="仿宋" w:hAnsi="仿宋" w:eastAsia="仿宋" w:cs="Times New Roman"/>
                <w:color w:val="auto"/>
                <w:szCs w:val="21"/>
                <w:lang w:val="en-US" w:eastAsia="zh-CN"/>
              </w:rPr>
            </w:pP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F694E3"/>
    <w:multiLevelType w:val="singleLevel"/>
    <w:tmpl w:val="95F694E3"/>
    <w:lvl w:ilvl="0" w:tentative="0">
      <w:start w:val="1"/>
      <w:numFmt w:val="decimal"/>
      <w:suff w:val="nothing"/>
      <w:lvlText w:val="%1."/>
      <w:lvlJc w:val="left"/>
      <w:pPr>
        <w:tabs>
          <w:tab w:val="left" w:pos="312"/>
        </w:tabs>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B28"/>
    <w:rsid w:val="66D45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2024-04-19T09:44:00Z</dcterms:created>
  <dc:creator>雷楠</dc:creator>
  <cp:lastModifiedBy>雷楠</cp:lastModifiedBy>
  <dcterms:modified xsi:type="dcterms:W3CDTF">2024-04-19T09:44:41Z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