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8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676"/>
        <w:gridCol w:w="273"/>
        <w:gridCol w:w="311"/>
        <w:gridCol w:w="691"/>
        <w:gridCol w:w="596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中国石化销售股份有限公司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贵州遵义城区石油分公司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高坪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二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站加油站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黄义旭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朱继红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化工工艺专业相关内容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0800000000207382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席刚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化工工艺</w:t>
            </w: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S011032000110192001214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专业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Arial" w:hAnsi="Arial" w:cs="Arial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安全工程</w:t>
            </w: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专业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S011053000110202001767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color w:val="000000" w:themeColor="text1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安全专业</w:t>
            </w: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S011053000110193002272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color w:val="000000" w:themeColor="text1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电气专业相关内容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Arial" w:hAnsi="Arial" w:cs="Arial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S011053000110193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电气专业</w:t>
            </w: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余兆鸿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机械专业相关内容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Arial" w:hAnsi="Arial" w:cs="Arial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S011053000110193002385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eastAsia="zh-CN"/>
              </w:rPr>
              <w:t>自动化</w:t>
            </w: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专业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</w:rPr>
              <w:t>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地质专业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S011053000110203001651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pStyle w:val="4"/>
              <w:spacing w:line="360" w:lineRule="auto"/>
              <w:ind w:firstLine="420" w:firstLineChars="200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中国石化销售股份有限公司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贵州遵义城区石油分公司高坪二站加油站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成立于200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年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月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11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日，</w:t>
            </w:r>
            <w:r>
              <w:rPr>
                <w:rFonts w:hint="default" w:ascii="仿宋" w:hAnsi="仿宋" w:eastAsia="仿宋" w:cs="Times New Roman"/>
                <w:szCs w:val="21"/>
              </w:rPr>
              <w:t>地址位于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遵义市汇川区高坪镇兰海高速旁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，分公司负责人为周毅。主要从事汽油和柴油的零售经营。</w:t>
            </w:r>
          </w:p>
          <w:p>
            <w:pPr>
              <w:pStyle w:val="4"/>
              <w:spacing w:line="360" w:lineRule="auto"/>
              <w:ind w:firstLine="420" w:firstLineChars="200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中国石化销售股份有限公司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贵州遵义城区石油分公司高坪二站加油站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占地面积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4724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m2，危险化学品经营许可范围：汽油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0m3×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，柴油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0m3×1。该加油站设有潜油泵单油品双枪加油机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台、潜油泵双油品四枪加油机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台，现设有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0m3的卧式埋地双层汽油罐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个、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0m3卧式埋地双层柴油罐1个，加油站油罐储存总容积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170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m3，柴油折半计算后为加油站容积为：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145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m3，根据《汽车加油加气加氢站技术标准》（GB50156-2021）对加油站的等级划分，属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二级加油站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。</w:t>
            </w:r>
          </w:p>
          <w:p>
            <w:r>
              <w:rPr>
                <w:rFonts w:hint="eastAsia"/>
              </w:rPr>
              <w:t>现场勘查照片：</w:t>
            </w:r>
          </w:p>
          <w:p>
            <w:pPr>
              <w:pStyle w:val="7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drawing>
                <wp:inline distT="0" distB="0" distL="114300" distR="114300">
                  <wp:extent cx="4238625" cy="3590925"/>
                  <wp:effectExtent l="0" t="0" r="9525" b="9525"/>
                  <wp:docPr id="1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3590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朱继红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2023.08.03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restart"/>
            <w:vAlign w:val="center"/>
          </w:tcPr>
          <w:p>
            <w:pPr>
              <w:pStyle w:val="3"/>
              <w:ind w:firstLine="0"/>
              <w:jc w:val="left"/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1、排水沟堵塞。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黄义旭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2023.08.03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exact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634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6C17A8"/>
    <w:rsid w:val="496C1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仿宋_GB2312 四号 行距: 1.5 倍行距"/>
    <w:basedOn w:val="1"/>
    <w:qFormat/>
    <w:uiPriority w:val="0"/>
    <w:pPr>
      <w:spacing w:line="360" w:lineRule="auto"/>
      <w:ind w:firstLine="560" w:firstLineChars="200"/>
    </w:pPr>
    <w:rPr>
      <w:rFonts w:ascii="宋体" w:hAnsi="宋体"/>
      <w:color w:val="000000"/>
      <w:sz w:val="28"/>
      <w:szCs w:val="20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  <w:style w:type="paragraph" w:styleId="4">
    <w:name w:val="annotation text"/>
    <w:basedOn w:val="1"/>
    <w:semiHidden/>
    <w:qFormat/>
    <w:uiPriority w:val="0"/>
    <w:pPr>
      <w:jc w:val="left"/>
    </w:pPr>
  </w:style>
  <w:style w:type="paragraph" w:styleId="5">
    <w:name w:val="Body Text Indent"/>
    <w:basedOn w:val="1"/>
    <w:next w:val="6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Body Text First Indent 2"/>
    <w:basedOn w:val="5"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2024-04-19T09:53:00Z</dcterms:created>
  <dc:creator>雷楠</dc:creator>
  <cp:lastModifiedBy>雷楠</cp:lastModifiedBy>
  <dcterms:modified xsi:type="dcterms:W3CDTF">2024-04-19T09:53:40Z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