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9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676"/>
        <w:gridCol w:w="273"/>
        <w:gridCol w:w="311"/>
        <w:gridCol w:w="691"/>
        <w:gridCol w:w="596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道真仡佬族苗族自治县洛龙镇老庆沟石灰岩矿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道真仡佬族苗族自治县洛龙镇老庆沟石灰岩矿现状评价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金属、非金属矿及其他矿采选业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王艳飞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唐元杰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陈红旭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机械相关专业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采矿工程专业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035582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水工专业相关内容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55180193792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地质专业相关内容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孙文豪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通风专业相关内容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该矿山于2022年8月18日取得道真自治县自然资源局颁发的扩能后的采矿许可证（证号：C5203252009117120044833），采矿权人：道真仡佬族苗族自治县翔宇建材有限公司；经济类型：有限责任公司；开采矿种：建筑石料用灰岩；开采方式：露天开采；生产规模：95万吨/年；矿区范围由4个拐点坐标圈定，矿区面积：0.3929km²；开采深度：1095m～895m；有效期限：2022年8月至2027年8月。</w:t>
            </w:r>
          </w:p>
          <w:p>
            <w:pPr>
              <w:jc w:val="center"/>
            </w:pPr>
            <w:r>
              <w:rPr>
                <w:rFonts w:hint="eastAsia"/>
              </w:rPr>
              <w:t>现场勘查照片</w:t>
            </w:r>
            <w:r>
              <w:drawing>
                <wp:inline distT="0" distB="0" distL="114300" distR="114300">
                  <wp:extent cx="4067175" cy="59817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5981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：</w:t>
            </w:r>
          </w:p>
          <w:p/>
          <w:p>
            <w:pPr>
              <w:pStyle w:val="2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2023.6.8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现场指导</w:t>
            </w:r>
          </w:p>
        </w:tc>
        <w:tc>
          <w:tcPr>
            <w:tcW w:w="3634" w:type="dxa"/>
            <w:gridSpan w:val="5"/>
            <w:vMerge w:val="restart"/>
            <w:vAlign w:val="center"/>
          </w:tcPr>
          <w:p>
            <w:pPr>
              <w:pStyle w:val="8"/>
              <w:ind w:firstLine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0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2023.6.8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现场指导</w:t>
            </w:r>
          </w:p>
        </w:tc>
        <w:tc>
          <w:tcPr>
            <w:tcW w:w="3634" w:type="dxa"/>
            <w:gridSpan w:val="5"/>
            <w:vMerge w:val="continue"/>
            <w:vAlign w:val="center"/>
          </w:tcPr>
          <w:p>
            <w:pPr>
              <w:pStyle w:val="8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110092"/>
    <w:rsid w:val="7111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footer"/>
    <w:basedOn w:val="1"/>
    <w:next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报告正文"/>
    <w:basedOn w:val="6"/>
    <w:qFormat/>
    <w:uiPriority w:val="0"/>
    <w:pPr>
      <w:widowControl w:val="0"/>
      <w:spacing w:line="360" w:lineRule="auto"/>
      <w:ind w:firstLine="200" w:firstLineChars="200"/>
      <w:jc w:val="both"/>
    </w:pPr>
    <w:rPr>
      <w:color w:val="000000"/>
      <w:kern w:val="2"/>
    </w:rPr>
  </w:style>
  <w:style w:type="paragraph" w:styleId="6">
    <w:name w:val="Body Text First Indent"/>
    <w:basedOn w:val="7"/>
    <w:next w:val="1"/>
    <w:semiHidden/>
    <w:unhideWhenUsed/>
    <w:qFormat/>
    <w:uiPriority w:val="99"/>
    <w:pPr>
      <w:ind w:firstLine="420" w:firstLineChars="100"/>
    </w:pPr>
  </w:style>
  <w:style w:type="paragraph" w:styleId="7">
    <w:name w:val="Body Text"/>
    <w:basedOn w:val="1"/>
    <w:next w:val="1"/>
    <w:qFormat/>
    <w:uiPriority w:val="1"/>
    <w:pPr>
      <w:spacing w:after="120"/>
    </w:pPr>
    <w:rPr>
      <w:rFonts w:cs="Times New Roman"/>
      <w:szCs w:val="20"/>
    </w:rPr>
  </w:style>
  <w:style w:type="paragraph" w:styleId="8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2024-04-19T09:51:00Z</dcterms:created>
  <dc:creator>雷楠</dc:creator>
  <cp:lastModifiedBy>雷楠</cp:lastModifiedBy>
  <dcterms:modified xsi:type="dcterms:W3CDTF">2024-04-19T09:52:08Z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