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569"/>
        <w:gridCol w:w="567"/>
        <w:gridCol w:w="633"/>
        <w:gridCol w:w="633"/>
        <w:gridCol w:w="567"/>
        <w:gridCol w:w="569"/>
        <w:gridCol w:w="559"/>
        <w:gridCol w:w="3273"/>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2037" w:type="pct"/>
            <w:gridSpan w:val="7"/>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64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0" w:type="auto"/>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4540" w:type="pct"/>
            <w:gridSpan w:val="9"/>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贵州页岩气勘探开发有限责任公司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4540" w:type="pct"/>
            <w:gridSpan w:val="9"/>
            <w:vAlign w:val="center"/>
          </w:tcPr>
          <w:p>
            <w:pPr>
              <w:spacing w:line="500" w:lineRule="exact"/>
              <w:jc w:val="center"/>
              <w:rPr>
                <w:rFonts w:hint="default" w:ascii="仿宋" w:hAnsi="仿宋" w:eastAsia="仿宋"/>
                <w:color w:val="auto"/>
                <w:kern w:val="0"/>
                <w:szCs w:val="21"/>
                <w:lang w:val="en-US" w:eastAsia="zh-CN"/>
              </w:rPr>
            </w:pPr>
            <w:r>
              <w:rPr>
                <w:rFonts w:hint="eastAsia" w:ascii="仿宋" w:hAnsi="仿宋" w:eastAsia="仿宋"/>
                <w:color w:val="auto"/>
                <w:kern w:val="0"/>
                <w:szCs w:val="21"/>
                <w:lang w:val="en-US" w:eastAsia="zh-CN"/>
              </w:rPr>
              <w:t>贵州页岩气勘探开发有限责任公司遵义LNG储配库项目安全设施竣工验收评价报告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4540" w:type="pct"/>
            <w:gridSpan w:val="9"/>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0" w:type="auto"/>
            <w:gridSpan w:val="8"/>
          </w:tcPr>
          <w:p>
            <w:pPr>
              <w:spacing w:line="400" w:lineRule="exact"/>
              <w:ind w:firstLine="0" w:firstLineChars="0"/>
              <w:rPr>
                <w:rFonts w:hint="default" w:ascii="仿宋" w:hAnsi="仿宋" w:eastAsia="仿宋"/>
                <w:color w:val="auto"/>
                <w:szCs w:val="21"/>
                <w:lang w:val="en-US" w:eastAsia="zh-CN"/>
              </w:rPr>
            </w:pPr>
            <w:r>
              <w:rPr>
                <w:rFonts w:hint="eastAsia" w:ascii="仿宋" w:hAnsi="仿宋" w:eastAsia="仿宋"/>
                <w:color w:val="auto"/>
                <w:szCs w:val="21"/>
                <w:lang w:val="en-US" w:eastAsia="zh-CN"/>
              </w:rPr>
              <w:t>危险化学品生产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0" w:type="auto"/>
            <w:gridSpan w:val="1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1736" w:type="pct"/>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0" w:type="auto"/>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0" w:type="auto"/>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Merge w:val="continue"/>
            <w:vAlign w:val="center"/>
          </w:tcPr>
          <w:p>
            <w:pPr>
              <w:spacing w:line="500" w:lineRule="exact"/>
              <w:jc w:val="center"/>
              <w:rPr>
                <w:rFonts w:ascii="仿宋" w:hAnsi="仿宋" w:eastAsia="仿宋"/>
                <w:b/>
                <w:color w:val="auto"/>
                <w:szCs w:val="21"/>
              </w:rPr>
            </w:pPr>
          </w:p>
        </w:tc>
        <w:tc>
          <w:tcPr>
            <w:tcW w:w="1736" w:type="pct"/>
            <w:gridSpan w:val="6"/>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朱继红</w:t>
            </w:r>
          </w:p>
        </w:tc>
        <w:tc>
          <w:tcPr>
            <w:tcW w:w="0" w:type="auto"/>
            <w:gridSpan w:val="2"/>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王淑芳</w:t>
            </w:r>
          </w:p>
        </w:tc>
        <w:tc>
          <w:tcPr>
            <w:tcW w:w="0" w:type="auto"/>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802" w:type="pct"/>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1235" w:type="pct"/>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64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0" w:type="auto"/>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Merge w:val="continue"/>
            <w:vAlign w:val="center"/>
          </w:tcPr>
          <w:p>
            <w:pPr>
              <w:spacing w:line="500" w:lineRule="exact"/>
              <w:jc w:val="center"/>
              <w:rPr>
                <w:rFonts w:ascii="仿宋" w:hAnsi="仿宋" w:eastAsia="仿宋"/>
                <w:b/>
                <w:color w:val="auto"/>
                <w:szCs w:val="21"/>
              </w:rPr>
            </w:pPr>
          </w:p>
        </w:tc>
        <w:tc>
          <w:tcPr>
            <w:tcW w:w="802" w:type="pct"/>
            <w:gridSpan w:val="3"/>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1235" w:type="pct"/>
            <w:gridSpan w:val="4"/>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2023.04</w:t>
            </w:r>
          </w:p>
        </w:tc>
        <w:tc>
          <w:tcPr>
            <w:tcW w:w="1649" w:type="pct"/>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s="Times New Roman"/>
                <w:color w:val="auto"/>
                <w:szCs w:val="21"/>
                <w:lang w:val="en-US" w:eastAsia="zh-CN"/>
              </w:rPr>
              <w:t>王淑芳</w:t>
            </w:r>
          </w:p>
        </w:tc>
        <w:tc>
          <w:tcPr>
            <w:tcW w:w="0" w:type="auto"/>
            <w:vAlign w:val="center"/>
          </w:tcPr>
          <w:p>
            <w:pPr>
              <w:spacing w:line="500" w:lineRule="exact"/>
              <w:jc w:val="center"/>
              <w:rPr>
                <w:rFonts w:hint="default" w:ascii="仿宋" w:hAnsi="仿宋" w:eastAsia="仿宋" w:cs="Times New Roman"/>
                <w:color w:val="auto"/>
                <w:szCs w:val="21"/>
                <w:lang w:val="en-US"/>
              </w:rPr>
            </w:pPr>
            <w:r>
              <w:rPr>
                <w:rFonts w:hint="eastAsia" w:ascii="仿宋" w:hAnsi="仿宋" w:eastAsia="仿宋" w:cs="Times New Roman"/>
                <w:color w:val="auto"/>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429" w:type="pct"/>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607" w:type="pct"/>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649" w:type="pct"/>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0" w:type="auto"/>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sz w:val="21"/>
                <w:szCs w:val="21"/>
                <w:lang w:eastAsia="zh-CN"/>
              </w:rPr>
              <w:t>朱继红</w:t>
            </w:r>
          </w:p>
        </w:tc>
        <w:tc>
          <w:tcPr>
            <w:tcW w:w="1429" w:type="pct"/>
            <w:gridSpan w:val="5"/>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val="en-US" w:eastAsia="zh-CN"/>
              </w:rPr>
              <w:t>化工工艺</w:t>
            </w:r>
          </w:p>
        </w:tc>
        <w:tc>
          <w:tcPr>
            <w:tcW w:w="607" w:type="pct"/>
            <w:gridSpan w:val="2"/>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i w:val="0"/>
                <w:color w:val="auto"/>
                <w:kern w:val="0"/>
                <w:sz w:val="21"/>
                <w:szCs w:val="21"/>
                <w:u w:val="none"/>
                <w:lang w:val="en-US" w:eastAsia="zh-CN" w:bidi="ar"/>
              </w:rPr>
              <w:t>007765</w:t>
            </w:r>
          </w:p>
        </w:tc>
        <w:tc>
          <w:tcPr>
            <w:tcW w:w="1649" w:type="pct"/>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Cs w:val="21"/>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val="en-US" w:eastAsia="zh-CN"/>
              </w:rPr>
              <w:t>席  刚</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化工工艺</w:t>
            </w:r>
          </w:p>
        </w:tc>
        <w:tc>
          <w:tcPr>
            <w:tcW w:w="607" w:type="pct"/>
            <w:gridSpan w:val="2"/>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021106</w:t>
            </w:r>
          </w:p>
        </w:tc>
        <w:tc>
          <w:tcPr>
            <w:tcW w:w="1649" w:type="pct"/>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jc w:val="center"/>
              <w:textAlignment w:val="auto"/>
              <w:rPr>
                <w:rFonts w:hint="eastAsia" w:ascii="仿宋" w:hAnsi="仿宋" w:eastAsia="仿宋" w:cs="宋体"/>
                <w:kern w:val="2"/>
                <w:sz w:val="21"/>
                <w:szCs w:val="21"/>
                <w:highlight w:val="none"/>
                <w:lang w:val="en-US" w:eastAsia="zh-CN" w:bidi="ar"/>
              </w:rPr>
            </w:pPr>
            <w:r>
              <w:rPr>
                <w:rFonts w:hint="eastAsia" w:ascii="仿宋" w:hAnsi="仿宋" w:eastAsia="仿宋" w:cs="宋体"/>
                <w:color w:val="auto"/>
                <w:sz w:val="21"/>
                <w:szCs w:val="21"/>
                <w:lang w:eastAsia="zh-CN"/>
              </w:rPr>
              <w:t>陈红旭</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color w:val="auto"/>
                <w:sz w:val="21"/>
                <w:szCs w:val="21"/>
                <w:lang w:eastAsia="zh-CN"/>
              </w:rPr>
              <w:t>机械专业</w:t>
            </w:r>
          </w:p>
        </w:tc>
        <w:tc>
          <w:tcPr>
            <w:tcW w:w="607" w:type="pct"/>
            <w:gridSpan w:val="2"/>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041366</w:t>
            </w:r>
          </w:p>
        </w:tc>
        <w:tc>
          <w:tcPr>
            <w:tcW w:w="1649" w:type="pct"/>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唐</w:t>
            </w:r>
            <w:r>
              <w:rPr>
                <w:rFonts w:hint="eastAsia" w:ascii="仿宋" w:hAnsi="仿宋" w:eastAsia="仿宋" w:cs="宋体"/>
                <w:kern w:val="2"/>
                <w:sz w:val="21"/>
                <w:szCs w:val="21"/>
                <w:lang w:val="en-US" w:eastAsia="zh-CN"/>
              </w:rPr>
              <w:t xml:space="preserve">  </w:t>
            </w:r>
            <w:r>
              <w:rPr>
                <w:rFonts w:hint="eastAsia" w:ascii="仿宋" w:hAnsi="仿宋" w:eastAsia="仿宋" w:cs="宋体"/>
                <w:kern w:val="2"/>
                <w:sz w:val="21"/>
                <w:szCs w:val="21"/>
                <w:lang w:eastAsia="zh-CN"/>
              </w:rPr>
              <w:t>波</w:t>
            </w:r>
          </w:p>
        </w:tc>
        <w:tc>
          <w:tcPr>
            <w:tcW w:w="1429" w:type="pct"/>
            <w:gridSpan w:val="5"/>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化工机械</w:t>
            </w:r>
          </w:p>
        </w:tc>
        <w:tc>
          <w:tcPr>
            <w:tcW w:w="607" w:type="pct"/>
            <w:gridSpan w:val="2"/>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035894</w:t>
            </w:r>
          </w:p>
        </w:tc>
        <w:tc>
          <w:tcPr>
            <w:tcW w:w="1649" w:type="pct"/>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kern w:val="2"/>
                <w:sz w:val="21"/>
                <w:szCs w:val="21"/>
                <w:lang w:eastAsia="zh-CN"/>
              </w:rPr>
              <w:t>田祖伟</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kern w:val="2"/>
                <w:sz w:val="21"/>
                <w:szCs w:val="21"/>
                <w:lang w:eastAsia="zh-CN"/>
              </w:rPr>
              <w:t>安全工程</w:t>
            </w:r>
          </w:p>
        </w:tc>
        <w:tc>
          <w:tcPr>
            <w:tcW w:w="607" w:type="pct"/>
            <w:gridSpan w:val="2"/>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030719</w:t>
            </w:r>
          </w:p>
        </w:tc>
        <w:tc>
          <w:tcPr>
            <w:tcW w:w="1649" w:type="pct"/>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何文勋</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安全专业</w:t>
            </w:r>
          </w:p>
        </w:tc>
        <w:tc>
          <w:tcPr>
            <w:tcW w:w="607" w:type="pct"/>
            <w:gridSpan w:val="2"/>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035650</w:t>
            </w:r>
          </w:p>
        </w:tc>
        <w:tc>
          <w:tcPr>
            <w:tcW w:w="1649" w:type="pct"/>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spacing w:line="240" w:lineRule="auto"/>
              <w:jc w:val="center"/>
              <w:rPr>
                <w:rFonts w:hint="eastAsia" w:ascii="仿宋" w:hAnsi="仿宋" w:eastAsia="仿宋" w:cs="宋体"/>
                <w:kern w:val="2"/>
                <w:sz w:val="21"/>
                <w:szCs w:val="21"/>
                <w:highlight w:val="none"/>
                <w:lang w:val="en-US" w:eastAsia="zh-CN" w:bidi="ar-SA"/>
              </w:rPr>
            </w:pPr>
            <w:bookmarkStart w:id="0" w:name="OLE_LINK4"/>
            <w:r>
              <w:rPr>
                <w:rFonts w:hint="eastAsia" w:ascii="仿宋" w:hAnsi="仿宋" w:eastAsia="仿宋" w:cs="宋体"/>
                <w:sz w:val="21"/>
                <w:szCs w:val="21"/>
              </w:rPr>
              <w:t>王永辉</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sz w:val="21"/>
                <w:szCs w:val="21"/>
              </w:rPr>
              <w:t>电气专业</w:t>
            </w:r>
          </w:p>
        </w:tc>
        <w:tc>
          <w:tcPr>
            <w:tcW w:w="607" w:type="pct"/>
            <w:gridSpan w:val="2"/>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rPr>
              <w:t>034150</w:t>
            </w:r>
          </w:p>
        </w:tc>
        <w:tc>
          <w:tcPr>
            <w:tcW w:w="1649" w:type="pct"/>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孟萌萌</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电气专业</w:t>
            </w:r>
          </w:p>
        </w:tc>
        <w:tc>
          <w:tcPr>
            <w:tcW w:w="607" w:type="pct"/>
            <w:gridSpan w:val="2"/>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019246</w:t>
            </w:r>
          </w:p>
        </w:tc>
        <w:tc>
          <w:tcPr>
            <w:tcW w:w="1649" w:type="pct"/>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jc w:val="center"/>
              <w:textAlignment w:val="auto"/>
              <w:rPr>
                <w:rFonts w:hint="eastAsia" w:ascii="仿宋" w:hAnsi="仿宋" w:eastAsia="仿宋" w:cs="宋体"/>
                <w:kern w:val="2"/>
                <w:sz w:val="21"/>
                <w:szCs w:val="21"/>
                <w:highlight w:val="none"/>
                <w:lang w:val="en-US" w:eastAsia="zh-CN" w:bidi="ar"/>
              </w:rPr>
            </w:pPr>
            <w:r>
              <w:rPr>
                <w:rFonts w:hint="eastAsia" w:ascii="仿宋" w:hAnsi="仿宋" w:eastAsia="仿宋" w:cs="宋体"/>
                <w:sz w:val="21"/>
                <w:szCs w:val="21"/>
              </w:rPr>
              <w:t>刘文娟</w:t>
            </w:r>
          </w:p>
        </w:tc>
        <w:tc>
          <w:tcPr>
            <w:tcW w:w="1429" w:type="pct"/>
            <w:gridSpan w:val="5"/>
            <w:vAlign w:val="center"/>
          </w:tcPr>
          <w:p>
            <w:pPr>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自动化</w:t>
            </w:r>
            <w:r>
              <w:rPr>
                <w:rFonts w:hint="eastAsia" w:ascii="仿宋" w:hAnsi="仿宋" w:eastAsia="仿宋" w:cs="宋体"/>
                <w:sz w:val="21"/>
                <w:szCs w:val="21"/>
              </w:rPr>
              <w:t>专业</w:t>
            </w:r>
          </w:p>
        </w:tc>
        <w:tc>
          <w:tcPr>
            <w:tcW w:w="607" w:type="pct"/>
            <w:gridSpan w:val="2"/>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 w:val="21"/>
                <w:szCs w:val="21"/>
                <w:lang w:val="en-US" w:eastAsia="zh-CN" w:bidi="ar"/>
              </w:rPr>
              <w:t>019235</w:t>
            </w:r>
          </w:p>
        </w:tc>
        <w:tc>
          <w:tcPr>
            <w:tcW w:w="1649" w:type="pct"/>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jc w:val="center"/>
              <w:textAlignment w:val="auto"/>
              <w:rPr>
                <w:rFonts w:hint="eastAsia" w:ascii="仿宋" w:hAnsi="仿宋" w:eastAsia="仿宋" w:cs="宋体"/>
                <w:sz w:val="21"/>
                <w:szCs w:val="21"/>
              </w:rPr>
            </w:pPr>
            <w:r>
              <w:rPr>
                <w:rFonts w:hint="eastAsia" w:ascii="仿宋" w:hAnsi="仿宋" w:eastAsia="仿宋" w:cs="宋体"/>
                <w:color w:val="auto"/>
                <w:kern w:val="2"/>
                <w:sz w:val="21"/>
                <w:szCs w:val="21"/>
              </w:rPr>
              <w:t>王淑芳</w:t>
            </w:r>
          </w:p>
        </w:tc>
        <w:tc>
          <w:tcPr>
            <w:tcW w:w="1429" w:type="pct"/>
            <w:gridSpan w:val="5"/>
            <w:vAlign w:val="center"/>
          </w:tcPr>
          <w:p>
            <w:pPr>
              <w:spacing w:line="240" w:lineRule="auto"/>
              <w:jc w:val="center"/>
              <w:rPr>
                <w:rFonts w:hint="eastAsia" w:ascii="仿宋" w:hAnsi="仿宋" w:eastAsia="仿宋" w:cs="宋体"/>
                <w:kern w:val="2"/>
                <w:sz w:val="21"/>
                <w:szCs w:val="21"/>
                <w:lang w:eastAsia="zh-CN"/>
              </w:rPr>
            </w:pPr>
            <w:r>
              <w:rPr>
                <w:rFonts w:hint="eastAsia" w:ascii="仿宋" w:hAnsi="仿宋" w:eastAsia="仿宋" w:cs="宋体"/>
                <w:kern w:val="2"/>
                <w:sz w:val="21"/>
                <w:szCs w:val="21"/>
                <w:lang w:val="en-US" w:eastAsia="zh-CN"/>
              </w:rPr>
              <w:t>化工工艺</w:t>
            </w:r>
          </w:p>
        </w:tc>
        <w:tc>
          <w:tcPr>
            <w:tcW w:w="607" w:type="pct"/>
            <w:gridSpan w:val="2"/>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rPr>
              <w:t>036136</w:t>
            </w:r>
          </w:p>
        </w:tc>
        <w:tc>
          <w:tcPr>
            <w:tcW w:w="1649" w:type="pct"/>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0" w:type="auto"/>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9" w:type="pct"/>
            <w:vAlign w:val="center"/>
          </w:tcPr>
          <w:p>
            <w:pPr>
              <w:widowControl/>
              <w:adjustRightInd w:val="0"/>
              <w:snapToGrid w:val="0"/>
              <w:jc w:val="center"/>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Cs w:val="21"/>
                <w:lang w:eastAsia="zh-CN"/>
              </w:rPr>
              <w:t>冯</w:t>
            </w:r>
            <w:r>
              <w:rPr>
                <w:rFonts w:hint="eastAsia" w:ascii="仿宋" w:hAnsi="仿宋" w:eastAsia="仿宋" w:cs="宋体"/>
                <w:color w:val="auto"/>
                <w:kern w:val="2"/>
                <w:szCs w:val="21"/>
                <w:lang w:val="en-US" w:eastAsia="zh-CN"/>
              </w:rPr>
              <w:t xml:space="preserve">  </w:t>
            </w:r>
            <w:r>
              <w:rPr>
                <w:rFonts w:hint="eastAsia" w:ascii="仿宋" w:hAnsi="仿宋" w:eastAsia="仿宋" w:cs="宋体"/>
                <w:color w:val="auto"/>
                <w:kern w:val="2"/>
                <w:szCs w:val="21"/>
                <w:lang w:eastAsia="zh-CN"/>
              </w:rPr>
              <w:t>皓</w:t>
            </w:r>
          </w:p>
        </w:tc>
        <w:tc>
          <w:tcPr>
            <w:tcW w:w="1429" w:type="pct"/>
            <w:gridSpan w:val="5"/>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化工机械</w:t>
            </w:r>
          </w:p>
        </w:tc>
        <w:tc>
          <w:tcPr>
            <w:tcW w:w="607" w:type="pct"/>
            <w:gridSpan w:val="2"/>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019237</w:t>
            </w:r>
          </w:p>
        </w:tc>
        <w:tc>
          <w:tcPr>
            <w:tcW w:w="1649" w:type="pct"/>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55130140330</w:t>
            </w:r>
          </w:p>
        </w:tc>
        <w:tc>
          <w:tcPr>
            <w:tcW w:w="0" w:type="auto"/>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59" w:type="pct"/>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4540" w:type="pct"/>
            <w:gridSpan w:val="9"/>
            <w:vAlign w:val="center"/>
          </w:tcPr>
          <w:p>
            <w:pPr>
              <w:spacing w:line="240" w:lineRule="auto"/>
              <w:ind w:firstLine="0"/>
              <w:jc w:val="left"/>
              <w:rPr>
                <w:rFonts w:hint="default" w:ascii="仿宋" w:hAnsi="仿宋" w:eastAsia="仿宋" w:cs="仿宋"/>
                <w:lang w:val="en-US" w:eastAsia="zh-CN"/>
              </w:rPr>
            </w:pPr>
            <w:bookmarkStart w:id="1" w:name="OLE_LINK9"/>
            <w:r>
              <w:rPr>
                <w:rFonts w:hint="eastAsia" w:ascii="仿宋" w:hAnsi="仿宋" w:eastAsia="仿宋" w:cs="仿宋"/>
                <w:lang w:val="en-US" w:eastAsia="zh-CN"/>
              </w:rPr>
              <w:t>一、建设项目概况</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贵州页岩气勘探开发有限责任公司成立于2017年10月12日，统一社会信用代码：91520324MA6EBN2P09，类型：有限责任公司（非自然人投资或控股的法人独资），法定代表人：冯冰，注册资本：10亿元，住址：贵州省遵义市正安县凤仪镇凤安快速通道河坝安置点。经营范围：页岩气及其他非常规、常规油气资源领域投资及勘察、开发、利用、销售和管网、分布式能源、化工生产项目建设等。</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贵州页岩气勘探开发有限责任公司遵义LNG储配库位于贵州省正安县安场镇官井村，于2020年7月8日取得了项目《贵州省企业投资项目备案证明》，项目编码：2019-520324-07-03-482147，项目总投资：65023万元，建设性质：新建，建设规模及内容：总占地面积212997.87平方米，总储存规模为29000立方米。主要建设100万立方米/天净化装置一套、50万立方米/天液化装置一套，3万立方米/小时气化装置一套及附属设施。液化天然气生产能力为120000t/a。</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贵州页岩气勘探开发有限责任公司前期在本期项目西北侧已建成</w:t>
            </w:r>
            <w:r>
              <w:rPr>
                <w:rFonts w:hint="eastAsia" w:ascii="仿宋" w:hAnsi="仿宋" w:eastAsia="仿宋" w:cs="仿宋"/>
                <w:color w:val="auto"/>
                <w:highlight w:val="none"/>
                <w:lang w:val="zh-CN"/>
              </w:rPr>
              <w:t>3套5×10</w:t>
            </w:r>
            <w:r>
              <w:rPr>
                <w:rFonts w:hint="eastAsia" w:ascii="仿宋" w:hAnsi="仿宋" w:eastAsia="仿宋" w:cs="仿宋"/>
                <w:color w:val="auto"/>
                <w:highlight w:val="none"/>
                <w:vertAlign w:val="baseline"/>
                <w:lang w:val="zh-CN"/>
              </w:rPr>
              <w:t>4</w:t>
            </w:r>
            <w:r>
              <w:rPr>
                <w:rFonts w:hint="eastAsia" w:ascii="仿宋" w:hAnsi="仿宋" w:eastAsia="仿宋" w:cs="仿宋"/>
                <w:color w:val="auto"/>
                <w:highlight w:val="none"/>
                <w:lang w:val="zh-CN"/>
              </w:rPr>
              <w:t>Nm</w:t>
            </w:r>
            <w:r>
              <w:rPr>
                <w:rFonts w:hint="eastAsia" w:ascii="仿宋" w:hAnsi="仿宋" w:eastAsia="仿宋" w:cs="仿宋"/>
                <w:color w:val="auto"/>
                <w:highlight w:val="none"/>
                <w:vertAlign w:val="baseline"/>
                <w:lang w:val="zh-CN"/>
              </w:rPr>
              <w:t>3</w:t>
            </w:r>
            <w:r>
              <w:rPr>
                <w:rFonts w:hint="eastAsia" w:ascii="仿宋" w:hAnsi="仿宋" w:eastAsia="仿宋" w:cs="仿宋"/>
                <w:color w:val="auto"/>
                <w:highlight w:val="none"/>
                <w:lang w:val="zh-CN"/>
              </w:rPr>
              <w:t>/d橇装式天然气液化装置，已于2021年12月6日取得安全生产许可证，编号：（黔）WH安许证字〔2021〕0385号，许可范围：液化天然气（4万吨/年）。</w:t>
            </w:r>
            <w:r>
              <w:rPr>
                <w:rFonts w:hint="eastAsia" w:ascii="仿宋" w:hAnsi="仿宋" w:eastAsia="仿宋" w:cs="仿宋"/>
                <w:snapToGrid/>
                <w:color w:val="auto"/>
                <w:kern w:val="2"/>
                <w:highlight w:val="none"/>
                <w:lang w:val="zh-CN"/>
              </w:rPr>
              <w:t>于2021年9月6日在应急管理部登记中心办理了《危险化学品登记证》（证书编号：520310056），登记品种：液化天然气。</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贵州页岩气勘探开发有限责任公司委托贵州省化工院对本项目进行了安全条件评价，于2020年7月出具了《贵州页岩气勘探开发有限责任公司遵义LNG储配库项目（一期）安全条件评价报告》；委托中国石油工程建设有限公司对本项目进行了安全设施设计，于2020年7月15日出具了《贵州页岩气勘探开发有限责任公司遵义LNG储配库项目安全设施设计专篇》。</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遵义市应急管理局组织对本项目安全条件和安全设施设计专篇进行了审查，于2021年7月21日签发了《遵义市应急管理局危险化学品建设项目安全审查意见书》（遵安危建审〔2021〕46号），同意通过本项目安全条件和安全设施设计专篇审查。</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本项目进行了3处设计变更，增加了消防车库和备勤室、冷剂和重烃储罐区内布置关系变化、火炬和导热油炉位置关系变化，设计单位进行了设计变更，出具了设计更改单。</w:t>
            </w:r>
          </w:p>
          <w:p>
            <w:pPr>
              <w:topLinePunct/>
              <w:ind w:firstLine="560"/>
              <w:jc w:val="left"/>
              <w:rPr>
                <w:rFonts w:hint="eastAsia" w:ascii="仿宋" w:hAnsi="仿宋" w:eastAsia="仿宋" w:cs="仿宋"/>
                <w:snapToGrid/>
                <w:color w:val="auto"/>
                <w:kern w:val="2"/>
                <w:highlight w:val="none"/>
                <w:lang w:val="zh-CN"/>
              </w:rPr>
            </w:pPr>
            <w:r>
              <w:rPr>
                <w:rFonts w:hint="eastAsia" w:ascii="仿宋" w:hAnsi="仿宋" w:eastAsia="仿宋" w:cs="仿宋"/>
                <w:snapToGrid/>
                <w:color w:val="auto"/>
                <w:kern w:val="2"/>
                <w:highlight w:val="none"/>
                <w:lang w:val="zh-CN"/>
              </w:rPr>
              <w:t>本项目于2021年5月18日取得正安县住房和城乡建设局颁发的《施工许可证》（编号：5203242104270002-SX-001）。施工单位：中国核工业第五建设有限公司，监理单位：北京兴油工程项目管理有限公司。</w:t>
            </w:r>
          </w:p>
          <w:p>
            <w:pPr>
              <w:spacing w:line="240" w:lineRule="auto"/>
              <w:ind w:firstLine="0"/>
              <w:jc w:val="left"/>
              <w:rPr>
                <w:rFonts w:hint="eastAsia" w:ascii="仿宋" w:hAnsi="仿宋" w:eastAsia="仿宋" w:cs="仿宋"/>
                <w:lang w:val="zh-CN" w:eastAsia="zh-CN"/>
              </w:rPr>
            </w:pPr>
            <w:r>
              <w:rPr>
                <w:rFonts w:hint="eastAsia" w:ascii="仿宋" w:hAnsi="仿宋" w:eastAsia="仿宋" w:cs="仿宋"/>
                <w:color w:val="auto"/>
                <w:highlight w:val="none"/>
                <w:lang w:val="zh-CN"/>
              </w:rPr>
              <w:t>本项目于2022年5月15日完工，并于2022年6月15日完成了中间交接，本次建设不包括气化外输装置及附属设施。贵州页岩气勘探开发有限责任公司于2022年5月编制了本项目试生产方案，设计单位、施工单位、监理单位、建设单位对方案进行了审批，组织专家对方案进行了审查，并报送正安县应急管理局进行了备案。试生产时间为12个月，期限为2022年6月1日至2023年6月1日。项目于2022年6月19日调试完成投料试车，整个试生产过程安全、稳定，一次开车成功。经过近2个月设备、工艺上的调整、改进、磨合，现已满负荷运行7个月，生产稳定，各项技术指标正常。</w:t>
            </w:r>
          </w:p>
          <w:bookmarkEnd w:id="1"/>
          <w:p>
            <w:pPr>
              <w:spacing w:line="240" w:lineRule="auto"/>
              <w:jc w:val="left"/>
              <w:rPr>
                <w:rFonts w:hint="eastAsia" w:ascii="仿宋" w:hAnsi="仿宋" w:eastAsia="仿宋" w:cs="仿宋"/>
              </w:rPr>
            </w:pPr>
            <w:r>
              <w:rPr>
                <w:rFonts w:hint="eastAsia" w:ascii="仿宋" w:hAnsi="仿宋" w:eastAsia="仿宋" w:cs="仿宋"/>
                <w:lang w:val="en-US" w:eastAsia="zh-CN"/>
              </w:rPr>
              <w:t>二、</w:t>
            </w:r>
            <w:r>
              <w:rPr>
                <w:rFonts w:hint="eastAsia" w:ascii="仿宋" w:hAnsi="仿宋" w:eastAsia="仿宋" w:cs="仿宋"/>
              </w:rPr>
              <w:t>主要危险、有害因素</w:t>
            </w:r>
          </w:p>
          <w:p>
            <w:pPr>
              <w:spacing w:line="240" w:lineRule="auto"/>
              <w:ind w:firstLine="0"/>
              <w:jc w:val="left"/>
              <w:rPr>
                <w:rFonts w:hint="eastAsia" w:ascii="仿宋" w:hAnsi="仿宋" w:eastAsia="仿宋" w:cs="仿宋"/>
                <w:snapToGrid/>
                <w:kern w:val="2"/>
                <w:lang w:val="zh-CN"/>
              </w:rPr>
            </w:pPr>
            <w:r>
              <w:rPr>
                <w:rFonts w:hint="eastAsia" w:ascii="仿宋" w:hAnsi="仿宋" w:eastAsia="仿宋" w:cs="仿宋"/>
                <w:lang w:val="zh-CN"/>
              </w:rPr>
              <w:t>本项目</w:t>
            </w:r>
            <w:r>
              <w:rPr>
                <w:rFonts w:hint="eastAsia" w:ascii="仿宋" w:hAnsi="仿宋" w:eastAsia="仿宋" w:cs="仿宋"/>
                <w:lang w:val="zh-CN" w:eastAsia="zh-CN"/>
              </w:rPr>
              <w:t>生产涉及的</w:t>
            </w:r>
            <w:r>
              <w:rPr>
                <w:rFonts w:hint="eastAsia" w:ascii="仿宋" w:hAnsi="仿宋" w:eastAsia="仿宋" w:cs="仿宋"/>
                <w:lang w:val="zh-CN"/>
              </w:rPr>
              <w:t>危险化学品</w:t>
            </w:r>
            <w:r>
              <w:rPr>
                <w:rFonts w:hint="eastAsia" w:ascii="仿宋" w:hAnsi="仿宋" w:eastAsia="仿宋" w:cs="仿宋"/>
                <w:lang w:val="zh-CN" w:eastAsia="zh-CN"/>
              </w:rPr>
              <w:t>有：</w:t>
            </w:r>
            <w:r>
              <w:rPr>
                <w:rFonts w:hint="eastAsia" w:ascii="仿宋" w:hAnsi="仿宋" w:eastAsia="仿宋" w:cs="仿宋"/>
                <w:lang w:val="zh-CN"/>
              </w:rPr>
              <w:t>天然气、重烃、乙烯、丙烷、异戊烷、液氮</w:t>
            </w:r>
            <w:r>
              <w:rPr>
                <w:rFonts w:hint="eastAsia" w:ascii="仿宋" w:hAnsi="仿宋" w:eastAsia="仿宋" w:cs="仿宋"/>
                <w:lang w:val="zh-CN" w:eastAsia="zh-CN"/>
              </w:rPr>
              <w:t>。其中，</w:t>
            </w:r>
            <w:r>
              <w:rPr>
                <w:rFonts w:hint="eastAsia" w:ascii="仿宋" w:hAnsi="仿宋" w:eastAsia="仿宋" w:cs="仿宋"/>
                <w:lang w:val="zh-CN"/>
              </w:rPr>
              <w:t>天然气、重烃、乙烯、丙烷、异戊烷具有可燃性</w:t>
            </w:r>
            <w:r>
              <w:rPr>
                <w:rFonts w:hint="eastAsia" w:ascii="仿宋" w:hAnsi="仿宋" w:eastAsia="仿宋" w:cs="仿宋"/>
                <w:lang w:val="zh-CN" w:eastAsia="zh-CN"/>
              </w:rPr>
              <w:t>，乙烯、异戊烷、重烃具有毒性，</w:t>
            </w:r>
            <w:r>
              <w:rPr>
                <w:rFonts w:hint="eastAsia" w:ascii="仿宋" w:hAnsi="仿宋" w:eastAsia="仿宋" w:cs="仿宋"/>
                <w:snapToGrid/>
                <w:kern w:val="2"/>
                <w:szCs w:val="20"/>
                <w:lang w:val="zh-CN"/>
              </w:rPr>
              <w:t>天然气</w:t>
            </w:r>
            <w:r>
              <w:rPr>
                <w:rFonts w:hint="eastAsia" w:ascii="仿宋" w:hAnsi="仿宋" w:eastAsia="仿宋" w:cs="仿宋"/>
                <w:snapToGrid/>
                <w:kern w:val="2"/>
                <w:szCs w:val="20"/>
                <w:lang w:val="zh-CN" w:eastAsia="zh-CN"/>
              </w:rPr>
              <w:t>属于</w:t>
            </w:r>
            <w:r>
              <w:rPr>
                <w:rFonts w:hint="eastAsia" w:ascii="仿宋" w:hAnsi="仿宋" w:eastAsia="仿宋" w:cs="仿宋"/>
                <w:snapToGrid/>
                <w:kern w:val="2"/>
                <w:szCs w:val="20"/>
                <w:lang w:val="zh-CN"/>
              </w:rPr>
              <w:t>重点监管的危险化学品</w:t>
            </w:r>
            <w:r>
              <w:rPr>
                <w:rFonts w:hint="eastAsia" w:ascii="仿宋" w:hAnsi="仿宋" w:eastAsia="仿宋" w:cs="仿宋"/>
                <w:snapToGrid/>
                <w:kern w:val="2"/>
                <w:szCs w:val="20"/>
                <w:lang w:val="zh-CN" w:eastAsia="zh-CN"/>
              </w:rPr>
              <w:t>、</w:t>
            </w:r>
            <w:r>
              <w:rPr>
                <w:rFonts w:hint="eastAsia" w:ascii="仿宋" w:hAnsi="仿宋" w:eastAsia="仿宋" w:cs="仿宋"/>
                <w:lang w:val="zh-CN" w:eastAsia="zh-CN"/>
              </w:rPr>
              <w:t>特别管控危险化学品。不涉及剧毒化学品和易制爆化学品。</w:t>
            </w:r>
          </w:p>
          <w:p>
            <w:pPr>
              <w:spacing w:line="240" w:lineRule="auto"/>
              <w:ind w:firstLine="0"/>
              <w:jc w:val="left"/>
              <w:rPr>
                <w:rFonts w:hint="eastAsia" w:ascii="仿宋" w:hAnsi="仿宋" w:eastAsia="仿宋" w:cs="仿宋"/>
                <w:snapToGrid/>
                <w:kern w:val="2"/>
                <w:lang w:val="zh-CN"/>
              </w:rPr>
            </w:pPr>
            <w:r>
              <w:rPr>
                <w:rFonts w:hint="eastAsia" w:ascii="仿宋" w:hAnsi="仿宋" w:eastAsia="仿宋" w:cs="仿宋"/>
                <w:snapToGrid/>
                <w:kern w:val="2"/>
                <w:szCs w:val="20"/>
                <w:lang w:val="zh-CN" w:eastAsia="zh-CN"/>
              </w:rPr>
              <w:t>本</w:t>
            </w:r>
            <w:r>
              <w:rPr>
                <w:rFonts w:hint="eastAsia" w:ascii="仿宋" w:hAnsi="仿宋" w:eastAsia="仿宋" w:cs="仿宋"/>
                <w:snapToGrid/>
                <w:kern w:val="2"/>
                <w:szCs w:val="20"/>
                <w:lang w:val="zh-CN"/>
              </w:rPr>
              <w:t>项目</w:t>
            </w:r>
            <w:r>
              <w:rPr>
                <w:rFonts w:hint="eastAsia" w:ascii="仿宋" w:hAnsi="仿宋" w:eastAsia="仿宋" w:cs="仿宋"/>
                <w:lang w:val="zh-CN"/>
              </w:rPr>
              <w:t>冷剂及重烃储</w:t>
            </w:r>
            <w:r>
              <w:rPr>
                <w:rFonts w:hint="eastAsia" w:ascii="仿宋" w:hAnsi="仿宋" w:eastAsia="仿宋" w:cs="仿宋"/>
                <w:lang w:val="zh-CN" w:eastAsia="zh-CN"/>
              </w:rPr>
              <w:t>存构成四级危险化学品重大危险源，29000m³</w:t>
            </w:r>
            <w:r>
              <w:rPr>
                <w:rFonts w:hint="eastAsia" w:ascii="仿宋" w:hAnsi="仿宋" w:eastAsia="仿宋" w:cs="仿宋"/>
                <w:lang w:val="zh-CN"/>
              </w:rPr>
              <w:t>LNG储罐</w:t>
            </w:r>
            <w:r>
              <w:rPr>
                <w:rFonts w:hint="eastAsia" w:ascii="仿宋" w:hAnsi="仿宋" w:eastAsia="仿宋" w:cs="仿宋"/>
                <w:lang w:val="zh-CN" w:eastAsia="zh-CN"/>
              </w:rPr>
              <w:t>储存</w:t>
            </w:r>
            <w:r>
              <w:rPr>
                <w:rFonts w:hint="eastAsia" w:ascii="仿宋" w:hAnsi="仿宋" w:eastAsia="仿宋" w:cs="仿宋"/>
                <w:snapToGrid/>
                <w:kern w:val="2"/>
                <w:szCs w:val="20"/>
                <w:lang w:val="zh-CN"/>
              </w:rPr>
              <w:t>构成</w:t>
            </w:r>
            <w:r>
              <w:rPr>
                <w:rFonts w:hint="eastAsia" w:ascii="仿宋" w:hAnsi="仿宋" w:eastAsia="仿宋" w:cs="仿宋"/>
                <w:snapToGrid/>
                <w:kern w:val="2"/>
                <w:szCs w:val="20"/>
                <w:lang w:val="zh-CN" w:eastAsia="zh-CN"/>
              </w:rPr>
              <w:t>一级</w:t>
            </w:r>
            <w:r>
              <w:rPr>
                <w:rFonts w:hint="eastAsia" w:ascii="仿宋" w:hAnsi="仿宋" w:eastAsia="仿宋" w:cs="仿宋"/>
                <w:snapToGrid/>
                <w:kern w:val="2"/>
                <w:szCs w:val="20"/>
                <w:lang w:val="zh-CN"/>
              </w:rPr>
              <w:t>危险化学品重大危险源</w:t>
            </w:r>
          </w:p>
          <w:p>
            <w:pPr>
              <w:spacing w:line="240" w:lineRule="auto"/>
              <w:ind w:firstLine="0"/>
              <w:jc w:val="left"/>
              <w:rPr>
                <w:rFonts w:hint="eastAsia" w:ascii="仿宋" w:hAnsi="仿宋" w:eastAsia="仿宋" w:cs="仿宋"/>
                <w:snapToGrid/>
                <w:kern w:val="2"/>
                <w:lang w:val="zh-CN"/>
              </w:rPr>
            </w:pPr>
            <w:r>
              <w:rPr>
                <w:rFonts w:hint="eastAsia" w:ascii="仿宋" w:hAnsi="仿宋" w:eastAsia="仿宋" w:cs="仿宋"/>
                <w:snapToGrid/>
                <w:kern w:val="2"/>
                <w:lang w:val="zh-CN" w:eastAsia="zh-CN"/>
              </w:rPr>
              <w:t>潜在的危险有害因素有：</w:t>
            </w:r>
            <w:r>
              <w:rPr>
                <w:rFonts w:hint="eastAsia" w:ascii="仿宋" w:hAnsi="仿宋" w:eastAsia="仿宋" w:cs="仿宋"/>
                <w:snapToGrid/>
                <w:color w:val="auto"/>
                <w:kern w:val="2"/>
                <w:highlight w:val="none"/>
                <w:lang w:val="zh-CN"/>
              </w:rPr>
              <w:t>泄漏</w:t>
            </w:r>
            <w:r>
              <w:rPr>
                <w:rFonts w:hint="eastAsia" w:ascii="仿宋" w:hAnsi="仿宋" w:eastAsia="仿宋" w:cs="仿宋"/>
                <w:snapToGrid/>
                <w:color w:val="auto"/>
                <w:kern w:val="2"/>
                <w:highlight w:val="none"/>
                <w:lang w:val="zh-CN" w:eastAsia="zh-CN"/>
              </w:rPr>
              <w:t>、</w:t>
            </w:r>
            <w:r>
              <w:rPr>
                <w:rFonts w:hint="eastAsia" w:ascii="仿宋" w:hAnsi="仿宋" w:eastAsia="仿宋" w:cs="仿宋"/>
                <w:snapToGrid/>
                <w:color w:val="auto"/>
                <w:kern w:val="2"/>
                <w:highlight w:val="none"/>
                <w:lang w:val="zh-CN"/>
              </w:rPr>
              <w:t>火灾、其他爆炸</w:t>
            </w:r>
            <w:r>
              <w:rPr>
                <w:rFonts w:hint="eastAsia" w:ascii="仿宋" w:hAnsi="仿宋" w:eastAsia="仿宋" w:cs="仿宋"/>
                <w:snapToGrid/>
                <w:color w:val="auto"/>
                <w:kern w:val="2"/>
                <w:highlight w:val="none"/>
                <w:lang w:val="zh-CN" w:eastAsia="zh-CN"/>
              </w:rPr>
              <w:t>、</w:t>
            </w:r>
            <w:r>
              <w:rPr>
                <w:rFonts w:hint="eastAsia" w:ascii="仿宋" w:hAnsi="仿宋" w:eastAsia="仿宋" w:cs="仿宋"/>
                <w:snapToGrid/>
                <w:color w:val="auto"/>
                <w:kern w:val="2"/>
                <w:highlight w:val="none"/>
                <w:lang w:val="zh-CN"/>
              </w:rPr>
              <w:t>中毒和窒息</w:t>
            </w:r>
            <w:r>
              <w:rPr>
                <w:rFonts w:hint="eastAsia" w:ascii="仿宋" w:hAnsi="仿宋" w:eastAsia="仿宋" w:cs="仿宋"/>
                <w:snapToGrid/>
                <w:color w:val="auto"/>
                <w:kern w:val="2"/>
                <w:highlight w:val="none"/>
                <w:lang w:val="zh-CN" w:eastAsia="zh-CN"/>
              </w:rPr>
              <w:t>、</w:t>
            </w:r>
            <w:r>
              <w:rPr>
                <w:rFonts w:hint="eastAsia" w:ascii="仿宋" w:hAnsi="仿宋" w:eastAsia="仿宋" w:cs="仿宋"/>
                <w:snapToGrid/>
                <w:color w:val="auto"/>
                <w:kern w:val="2"/>
                <w:highlight w:val="none"/>
                <w:lang w:val="zh-CN"/>
              </w:rPr>
              <w:t>灼烫</w:t>
            </w:r>
            <w:r>
              <w:rPr>
                <w:rFonts w:hint="eastAsia" w:ascii="仿宋" w:hAnsi="仿宋" w:eastAsia="仿宋" w:cs="仿宋"/>
                <w:snapToGrid/>
                <w:color w:val="auto"/>
                <w:kern w:val="2"/>
                <w:highlight w:val="none"/>
                <w:lang w:val="zh-CN" w:eastAsia="zh-CN"/>
              </w:rPr>
              <w:t>、容器爆炸、锅炉爆炸、机械伤害、触电、车辆伤害、起重伤害、高处坠落、物体打击、淹溺、坍塌、低温、噪声、振动、受限空间作业事故等</w:t>
            </w:r>
            <w:r>
              <w:rPr>
                <w:rFonts w:hint="eastAsia" w:ascii="仿宋" w:hAnsi="仿宋" w:eastAsia="仿宋" w:cs="仿宋"/>
                <w:snapToGrid/>
                <w:kern w:val="2"/>
                <w:lang w:val="zh-CN"/>
              </w:rPr>
              <w:t>。</w:t>
            </w:r>
          </w:p>
          <w:p>
            <w:pPr>
              <w:spacing w:line="240" w:lineRule="auto"/>
              <w:jc w:val="left"/>
              <w:rPr>
                <w:rFonts w:hint="eastAsia" w:ascii="仿宋" w:hAnsi="仿宋" w:eastAsia="仿宋" w:cs="仿宋"/>
                <w:snapToGrid/>
                <w:kern w:val="2"/>
              </w:rPr>
            </w:pPr>
            <w:r>
              <w:rPr>
                <w:rFonts w:hint="eastAsia" w:ascii="仿宋" w:hAnsi="仿宋" w:eastAsia="仿宋" w:cs="仿宋"/>
                <w:b w:val="0"/>
                <w:bCs w:val="0"/>
                <w:sz w:val="21"/>
                <w:szCs w:val="20"/>
                <w:lang w:val="en-US" w:eastAsia="zh-CN"/>
              </w:rPr>
              <w:t>三、</w:t>
            </w:r>
            <w:r>
              <w:rPr>
                <w:rFonts w:hint="eastAsia" w:ascii="仿宋" w:hAnsi="仿宋" w:eastAsia="仿宋" w:cs="仿宋"/>
                <w:lang w:val="en-US" w:eastAsia="zh-CN"/>
              </w:rPr>
              <w:t>安全评价单元划分</w:t>
            </w:r>
          </w:p>
          <w:p>
            <w:pPr>
              <w:spacing w:line="240" w:lineRule="auto"/>
              <w:ind w:firstLine="0"/>
              <w:jc w:val="left"/>
              <w:rPr>
                <w:rFonts w:hint="eastAsia" w:ascii="仿宋" w:hAnsi="仿宋" w:eastAsia="仿宋" w:cs="仿宋"/>
                <w:lang w:val="zh-CN"/>
              </w:rPr>
            </w:pPr>
            <w:r>
              <w:rPr>
                <w:rFonts w:hint="eastAsia" w:ascii="仿宋" w:hAnsi="仿宋" w:eastAsia="仿宋" w:cs="仿宋"/>
                <w:snapToGrid/>
                <w:color w:val="auto"/>
                <w:kern w:val="2"/>
                <w:highlight w:val="none"/>
                <w:lang w:val="zh-CN"/>
              </w:rPr>
              <w:t>依据《危险化学品建设项目安全评价细则（试行）》（安监总危化〔2007〕255号）规定的安全评价单元划分原则，根据本项目的实际情况和安全评价的需要，在分析主要危险、有害因素的基础上，将本项目划分为</w:t>
            </w:r>
            <w:r>
              <w:rPr>
                <w:rFonts w:hint="eastAsia" w:ascii="仿宋" w:hAnsi="仿宋" w:eastAsia="仿宋" w:cs="仿宋"/>
                <w:snapToGrid/>
                <w:kern w:val="2"/>
                <w:lang w:val="zh-CN"/>
              </w:rPr>
              <w:t>外部安全条件单元</w:t>
            </w:r>
            <w:r>
              <w:rPr>
                <w:rFonts w:hint="eastAsia" w:ascii="仿宋" w:hAnsi="仿宋" w:eastAsia="仿宋" w:cs="仿宋"/>
                <w:snapToGrid/>
                <w:kern w:val="2"/>
                <w:lang w:val="en-US" w:eastAsia="zh-CN"/>
              </w:rPr>
              <w:t>、</w:t>
            </w:r>
            <w:r>
              <w:rPr>
                <w:rFonts w:hint="eastAsia" w:ascii="仿宋" w:hAnsi="仿宋" w:eastAsia="仿宋" w:cs="仿宋"/>
                <w:snapToGrid/>
                <w:kern w:val="2"/>
                <w:lang w:val="zh-CN"/>
              </w:rPr>
              <w:t>总平面布置单元、主要装置（设施）单元、公用工程及辅助设施单元、安全生产管理单元，</w:t>
            </w:r>
            <w:r>
              <w:rPr>
                <w:rFonts w:hint="eastAsia" w:ascii="仿宋" w:hAnsi="仿宋" w:eastAsia="仿宋" w:cs="仿宋"/>
                <w:snapToGrid/>
                <w:kern w:val="2"/>
                <w:lang w:val="en-US" w:eastAsia="zh-CN"/>
              </w:rPr>
              <w:t>共</w:t>
            </w:r>
            <w:r>
              <w:rPr>
                <w:rFonts w:hint="eastAsia" w:ascii="仿宋" w:hAnsi="仿宋" w:eastAsia="仿宋" w:cs="仿宋"/>
                <w:snapToGrid/>
                <w:color w:val="auto"/>
                <w:kern w:val="2"/>
                <w:highlight w:val="none"/>
                <w:lang w:val="zh-CN"/>
              </w:rPr>
              <w:t>5个安全评价单元</w:t>
            </w:r>
            <w:r>
              <w:rPr>
                <w:rFonts w:hint="eastAsia" w:ascii="仿宋" w:hAnsi="仿宋" w:eastAsia="仿宋" w:cs="仿宋"/>
                <w:snapToGrid/>
                <w:kern w:val="2"/>
                <w:lang w:val="zh-CN"/>
              </w:rPr>
              <w:t>。</w:t>
            </w:r>
          </w:p>
          <w:p>
            <w:pPr>
              <w:spacing w:line="240" w:lineRule="auto"/>
              <w:jc w:val="left"/>
              <w:rPr>
                <w:rFonts w:hint="default" w:ascii="仿宋" w:hAnsi="仿宋" w:eastAsia="仿宋" w:cs="仿宋"/>
                <w:lang w:val="en-US" w:eastAsia="zh-CN"/>
              </w:rPr>
            </w:pPr>
            <w:r>
              <w:rPr>
                <w:rFonts w:hint="eastAsia" w:ascii="仿宋" w:hAnsi="仿宋" w:eastAsia="仿宋" w:cs="仿宋"/>
                <w:lang w:val="en-US" w:eastAsia="zh-CN"/>
              </w:rPr>
              <w:t>四、评价结论</w:t>
            </w:r>
          </w:p>
          <w:p>
            <w:pPr>
              <w:spacing w:line="240" w:lineRule="auto"/>
              <w:ind w:firstLine="0" w:firstLineChars="0"/>
              <w:jc w:val="left"/>
              <w:rPr>
                <w:rFonts w:hint="eastAsia" w:ascii="仿宋" w:hAnsi="仿宋" w:eastAsia="仿宋" w:cs="仿宋"/>
                <w:lang w:val="zh-CN" w:eastAsia="zh-CN"/>
              </w:rPr>
            </w:pPr>
            <w:r>
              <w:rPr>
                <w:rFonts w:hint="eastAsia" w:ascii="仿宋" w:hAnsi="仿宋" w:eastAsia="仿宋" w:cs="仿宋"/>
                <w:b w:val="0"/>
                <w:bCs w:val="0"/>
                <w:color w:val="auto"/>
                <w:highlight w:val="none"/>
                <w:lang w:val="zh-CN"/>
              </w:rPr>
              <w:t>贵州页岩气勘探开发有限责任公司遵义LNG储配库项目试生产（使用）后具备国家现行有关安全生产法律、法规和部门规章及标准规定和要求的安全生产条件。</w:t>
            </w:r>
          </w:p>
          <w:p>
            <w:pPr>
              <w:spacing w:line="240" w:lineRule="auto"/>
              <w:ind w:firstLine="0" w:firstLineChars="0"/>
              <w:jc w:val="left"/>
              <w:rPr>
                <w:rFonts w:hint="eastAsia" w:ascii="仿宋" w:hAnsi="仿宋" w:eastAsia="仿宋" w:cs="仿宋"/>
                <w:lang w:val="zh-CN" w:eastAsia="zh-CN"/>
              </w:rPr>
            </w:pPr>
            <w:r>
              <w:rPr>
                <w:rFonts w:hint="eastAsia" w:ascii="仿宋" w:hAnsi="仿宋" w:eastAsia="仿宋" w:cs="仿宋"/>
                <w:lang w:val="zh-CN" w:eastAsia="zh-CN"/>
              </w:rPr>
              <w:t>现场勘察照片：</w:t>
            </w:r>
          </w:p>
          <w:p>
            <w:pPr>
              <w:jc w:val="center"/>
              <w:rPr>
                <w:rFonts w:hint="default"/>
                <w:color w:val="auto"/>
                <w:highlight w:val="none"/>
                <w:lang w:val="en-US" w:eastAsia="zh-CN"/>
              </w:rPr>
            </w:pPr>
            <w:r>
              <w:drawing>
                <wp:inline distT="0" distB="0" distL="114300" distR="114300">
                  <wp:extent cx="4124325" cy="46672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24325" cy="4667250"/>
                          </a:xfrm>
                          <a:prstGeom prst="rect">
                            <a:avLst/>
                          </a:prstGeom>
                          <a:noFill/>
                          <a:ln>
                            <a:noFill/>
                          </a:ln>
                        </pic:spPr>
                      </pic:pic>
                    </a:graphicData>
                  </a:graphic>
                </wp:inline>
              </w:drawing>
            </w:r>
          </w:p>
          <w:p>
            <w:pPr>
              <w:jc w:val="left"/>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59" w:type="pct"/>
            <w:vMerge w:val="restart"/>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现场开展工作情况</w:t>
            </w:r>
          </w:p>
        </w:tc>
        <w:tc>
          <w:tcPr>
            <w:tcW w:w="481" w:type="pct"/>
            <w:gridSpan w:val="2"/>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勘验人员</w:t>
            </w:r>
          </w:p>
        </w:tc>
        <w:tc>
          <w:tcPr>
            <w:tcW w:w="642" w:type="pct"/>
            <w:gridSpan w:val="2"/>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勘验时间</w:t>
            </w:r>
          </w:p>
        </w:tc>
        <w:tc>
          <w:tcPr>
            <w:tcW w:w="913" w:type="pct"/>
            <w:gridSpan w:val="3"/>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勘验任务</w:t>
            </w:r>
          </w:p>
        </w:tc>
        <w:tc>
          <w:tcPr>
            <w:tcW w:w="2503" w:type="pct"/>
            <w:gridSpan w:val="2"/>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59" w:type="pct"/>
            <w:vMerge w:val="continue"/>
            <w:vAlign w:val="center"/>
          </w:tcPr>
          <w:p>
            <w:pPr>
              <w:spacing w:line="240" w:lineRule="auto"/>
              <w:jc w:val="center"/>
              <w:rPr>
                <w:rFonts w:ascii="仿宋" w:hAnsi="仿宋" w:eastAsia="仿宋"/>
                <w:color w:val="auto"/>
                <w:szCs w:val="21"/>
              </w:rPr>
            </w:pPr>
          </w:p>
        </w:tc>
        <w:tc>
          <w:tcPr>
            <w:tcW w:w="481" w:type="pct"/>
            <w:gridSpan w:val="2"/>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朱继红</w:t>
            </w:r>
          </w:p>
        </w:tc>
        <w:tc>
          <w:tcPr>
            <w:tcW w:w="642" w:type="pct"/>
            <w:gridSpan w:val="2"/>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2022.10.10</w:t>
            </w:r>
          </w:p>
        </w:tc>
        <w:tc>
          <w:tcPr>
            <w:tcW w:w="913" w:type="pct"/>
            <w:gridSpan w:val="3"/>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2503" w:type="pct"/>
            <w:gridSpan w:val="2"/>
            <w:vMerge w:val="restart"/>
            <w:vAlign w:val="center"/>
          </w:tcPr>
          <w:p>
            <w:pPr>
              <w:widowControl/>
              <w:numPr>
                <w:ilvl w:val="0"/>
                <w:numId w:val="1"/>
              </w:numPr>
              <w:jc w:val="left"/>
              <w:rPr>
                <w:rFonts w:hint="eastAsia" w:ascii="仿宋" w:hAnsi="仿宋" w:eastAsia="仿宋" w:cs="Times New Roman"/>
                <w:color w:val="auto"/>
                <w:szCs w:val="21"/>
              </w:rPr>
            </w:pPr>
            <w:r>
              <w:rPr>
                <w:rFonts w:hint="eastAsia" w:ascii="仿宋" w:hAnsi="仿宋" w:eastAsia="仿宋" w:cs="仿宋"/>
                <w:lang w:val="en-US" w:eastAsia="zh-CN"/>
              </w:rPr>
              <w:t>新增消防车库及备勤室、火炬与导热油炉位置变化、冷剂和重烃储罐区布置变化无变更设计资料。</w:t>
            </w:r>
          </w:p>
          <w:p>
            <w:pPr>
              <w:widowControl/>
              <w:numPr>
                <w:ilvl w:val="0"/>
                <w:numId w:val="1"/>
              </w:numPr>
              <w:jc w:val="left"/>
              <w:rPr>
                <w:rFonts w:hint="eastAsia" w:ascii="仿宋" w:hAnsi="仿宋" w:eastAsia="仿宋" w:cs="仿宋"/>
                <w:color w:val="auto"/>
                <w:szCs w:val="20"/>
              </w:rPr>
            </w:pPr>
            <w:r>
              <w:rPr>
                <w:rFonts w:hint="eastAsia" w:ascii="仿宋" w:hAnsi="仿宋" w:eastAsia="仿宋" w:cs="仿宋"/>
                <w:lang w:val="en-US" w:eastAsia="zh-CN"/>
              </w:rPr>
              <w:t>可燃/有毒气体探测报警系统、消防控制系统没有设置独立的主机。</w:t>
            </w:r>
          </w:p>
          <w:p>
            <w:pPr>
              <w:widowControl/>
              <w:numPr>
                <w:ilvl w:val="0"/>
                <w:numId w:val="1"/>
              </w:numPr>
              <w:jc w:val="left"/>
              <w:rPr>
                <w:rFonts w:hint="eastAsia" w:ascii="仿宋" w:hAnsi="仿宋" w:eastAsia="仿宋" w:cs="仿宋"/>
                <w:color w:val="auto"/>
                <w:szCs w:val="20"/>
              </w:rPr>
            </w:pPr>
            <w:r>
              <w:rPr>
                <w:rFonts w:hint="eastAsia" w:ascii="仿宋" w:hAnsi="仿宋" w:eastAsia="仿宋" w:cs="仿宋"/>
              </w:rPr>
              <w:t>完善工艺管道标识。</w:t>
            </w:r>
          </w:p>
          <w:p>
            <w:pPr>
              <w:widowControl/>
              <w:numPr>
                <w:ilvl w:val="0"/>
                <w:numId w:val="1"/>
              </w:numPr>
              <w:jc w:val="left"/>
              <w:rPr>
                <w:rFonts w:hint="eastAsia" w:ascii="仿宋" w:hAnsi="仿宋" w:eastAsia="仿宋" w:cs="仿宋"/>
                <w:color w:val="auto"/>
                <w:szCs w:val="20"/>
              </w:rPr>
            </w:pPr>
            <w:r>
              <w:rPr>
                <w:rFonts w:hint="eastAsia" w:ascii="仿宋" w:hAnsi="仿宋" w:eastAsia="仿宋" w:cs="仿宋"/>
                <w:lang w:val="en-US" w:eastAsia="zh-CN"/>
              </w:rPr>
              <w:t>请设计单位明确罐车停车区与周边设施防火间距要求。</w:t>
            </w:r>
          </w:p>
          <w:p>
            <w:pPr>
              <w:widowControl/>
              <w:numPr>
                <w:ilvl w:val="0"/>
                <w:numId w:val="1"/>
              </w:numPr>
              <w:spacing w:line="240" w:lineRule="auto"/>
              <w:ind w:firstLine="0" w:firstLineChars="0"/>
              <w:jc w:val="left"/>
              <w:rPr>
                <w:rFonts w:hint="eastAsia" w:ascii="仿宋" w:hAnsi="仿宋" w:eastAsia="仿宋" w:cs="Times New Roman"/>
                <w:color w:val="auto"/>
                <w:szCs w:val="21"/>
                <w:lang w:val="en-US" w:eastAsia="zh-CN"/>
              </w:rPr>
            </w:pPr>
            <w:r>
              <w:rPr>
                <w:rFonts w:hint="eastAsia" w:ascii="仿宋" w:hAnsi="仿宋" w:eastAsia="仿宋" w:cs="仿宋"/>
                <w:lang w:val="en-US" w:eastAsia="zh-CN"/>
              </w:rPr>
              <w:t>需拆迁的房屋应按要求拆迁。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59" w:type="pct"/>
            <w:vMerge w:val="continue"/>
            <w:vAlign w:val="center"/>
          </w:tcPr>
          <w:p>
            <w:pPr>
              <w:spacing w:line="240" w:lineRule="auto"/>
              <w:jc w:val="center"/>
              <w:rPr>
                <w:rFonts w:ascii="仿宋" w:hAnsi="仿宋" w:eastAsia="仿宋"/>
                <w:color w:val="auto"/>
                <w:szCs w:val="21"/>
              </w:rPr>
            </w:pPr>
          </w:p>
        </w:tc>
        <w:tc>
          <w:tcPr>
            <w:tcW w:w="481" w:type="pct"/>
            <w:gridSpan w:val="2"/>
            <w:vAlign w:val="center"/>
          </w:tcPr>
          <w:p>
            <w:pPr>
              <w:spacing w:line="240" w:lineRule="auto"/>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陈红旭</w:t>
            </w:r>
          </w:p>
        </w:tc>
        <w:tc>
          <w:tcPr>
            <w:tcW w:w="642" w:type="pct"/>
            <w:gridSpan w:val="2"/>
            <w:vAlign w:val="center"/>
          </w:tcPr>
          <w:p>
            <w:pPr>
              <w:spacing w:line="240" w:lineRule="auto"/>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2022.10.10</w:t>
            </w:r>
          </w:p>
        </w:tc>
        <w:tc>
          <w:tcPr>
            <w:tcW w:w="913" w:type="pct"/>
            <w:gridSpan w:val="3"/>
            <w:vAlign w:val="center"/>
          </w:tcPr>
          <w:p>
            <w:pPr>
              <w:spacing w:line="240" w:lineRule="auto"/>
              <w:jc w:val="center"/>
              <w:rPr>
                <w:rFonts w:hint="eastAsia" w:ascii="仿宋" w:hAnsi="仿宋" w:eastAsia="仿宋" w:cs="Times New Roman"/>
                <w:color w:val="auto"/>
                <w:szCs w:val="21"/>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2503" w:type="pct"/>
            <w:gridSpan w:val="2"/>
            <w:vMerge w:val="continue"/>
            <w:vAlign w:val="center"/>
          </w:tcPr>
          <w:p>
            <w:pPr>
              <w:widowControl/>
              <w:numPr>
                <w:ilvl w:val="-1"/>
                <w:numId w:val="0"/>
              </w:numPr>
              <w:spacing w:line="240" w:lineRule="auto"/>
              <w:ind w:firstLine="0" w:firstLineChars="0"/>
              <w:jc w:val="left"/>
              <w:rPr>
                <w:rFonts w:hint="eastAsia" w:ascii="仿宋" w:hAnsi="仿宋" w:eastAsia="仿宋"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jc w:val="center"/>
        </w:trPr>
        <w:tc>
          <w:tcPr>
            <w:tcW w:w="459" w:type="pct"/>
            <w:vMerge w:val="continue"/>
            <w:vAlign w:val="center"/>
          </w:tcPr>
          <w:p>
            <w:pPr>
              <w:spacing w:line="240" w:lineRule="auto"/>
              <w:jc w:val="center"/>
              <w:rPr>
                <w:rFonts w:ascii="仿宋" w:hAnsi="仿宋" w:eastAsia="仿宋"/>
                <w:b/>
                <w:color w:val="auto"/>
                <w:szCs w:val="21"/>
              </w:rPr>
            </w:pPr>
          </w:p>
        </w:tc>
        <w:tc>
          <w:tcPr>
            <w:tcW w:w="481" w:type="pct"/>
            <w:gridSpan w:val="2"/>
            <w:vAlign w:val="center"/>
          </w:tcPr>
          <w:p>
            <w:pPr>
              <w:spacing w:line="240" w:lineRule="auto"/>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王永辉</w:t>
            </w:r>
          </w:p>
        </w:tc>
        <w:tc>
          <w:tcPr>
            <w:tcW w:w="642" w:type="pct"/>
            <w:gridSpan w:val="2"/>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2022.10.10</w:t>
            </w:r>
          </w:p>
        </w:tc>
        <w:tc>
          <w:tcPr>
            <w:tcW w:w="913" w:type="pct"/>
            <w:gridSpan w:val="3"/>
            <w:vAlign w:val="center"/>
          </w:tcPr>
          <w:p>
            <w:pPr>
              <w:spacing w:line="240" w:lineRule="auto"/>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现场勘查、记录</w:t>
            </w:r>
          </w:p>
        </w:tc>
        <w:tc>
          <w:tcPr>
            <w:tcW w:w="2503" w:type="pct"/>
            <w:gridSpan w:val="2"/>
            <w:vMerge w:val="continue"/>
            <w:vAlign w:val="center"/>
          </w:tcPr>
          <w:p>
            <w:pPr>
              <w:spacing w:line="240" w:lineRule="auto"/>
              <w:jc w:val="center"/>
              <w:rPr>
                <w:rFonts w:ascii="仿宋" w:hAnsi="仿宋" w:eastAsia="仿宋"/>
                <w:b/>
                <w:color w:val="auto"/>
                <w:szCs w:val="21"/>
              </w:rPr>
            </w:pP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08EEDA"/>
    <w:multiLevelType w:val="singleLevel"/>
    <w:tmpl w:val="4C08EED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05594"/>
    <w:rsid w:val="1BC05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2">
    <w:name w:val="heading 4"/>
    <w:basedOn w:val="1"/>
    <w:next w:val="1"/>
    <w:unhideWhenUsed/>
    <w:qFormat/>
    <w:uiPriority w:val="0"/>
    <w:pPr>
      <w:keepNext/>
      <w:keepLines/>
      <w:spacing w:line="360" w:lineRule="auto"/>
      <w:ind w:firstLine="560" w:firstLineChars="200"/>
      <w:jc w:val="left"/>
      <w:outlineLvl w:val="3"/>
    </w:pPr>
    <w:rPr>
      <w:rFonts w:ascii="Arial" w:hAnsi="Arial" w:eastAsia="宋体" w:cs="宋体"/>
      <w:sz w:val="28"/>
      <w:szCs w:val="28"/>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2024-04-19T09:41:00Z</dcterms:created>
  <dc:creator>雷楠</dc:creator>
  <cp:lastModifiedBy>雷楠</cp:lastModifiedBy>
  <dcterms:modified xsi:type="dcterms:W3CDTF">2024-04-19T09:41:20Z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