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100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6"/>
        <w:gridCol w:w="781"/>
        <w:gridCol w:w="609"/>
        <w:gridCol w:w="511"/>
        <w:gridCol w:w="377"/>
        <w:gridCol w:w="813"/>
        <w:gridCol w:w="590"/>
        <w:gridCol w:w="359"/>
        <w:gridCol w:w="311"/>
        <w:gridCol w:w="1287"/>
        <w:gridCol w:w="163"/>
        <w:gridCol w:w="719"/>
        <w:gridCol w:w="134"/>
        <w:gridCol w:w="359"/>
        <w:gridCol w:w="1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机构名称</w:t>
            </w:r>
          </w:p>
        </w:tc>
        <w:tc>
          <w:tcPr>
            <w:tcW w:w="4040" w:type="dxa"/>
            <w:gridSpan w:val="7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资质证号</w:t>
            </w:r>
          </w:p>
        </w:tc>
        <w:tc>
          <w:tcPr>
            <w:tcW w:w="313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APJ-(渝)-001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委托单位</w:t>
            </w:r>
          </w:p>
        </w:tc>
        <w:tc>
          <w:tcPr>
            <w:tcW w:w="876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lang w:eastAsia="zh-CN"/>
              </w:rPr>
              <w:t>贵州省遵义三力石油化工有限公司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项目名称</w:t>
            </w:r>
          </w:p>
        </w:tc>
        <w:tc>
          <w:tcPr>
            <w:tcW w:w="876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遵义市播州区万寿农用油料经营部（农机加油站）安全现状评价报告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项目类别</w:t>
            </w:r>
          </w:p>
        </w:tc>
        <w:tc>
          <w:tcPr>
            <w:tcW w:w="876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预评价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现状评价    □验收评价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所属业务类别</w:t>
            </w:r>
          </w:p>
        </w:tc>
        <w:tc>
          <w:tcPr>
            <w:tcW w:w="7987" w:type="dxa"/>
            <w:gridSpan w:val="13"/>
          </w:tcPr>
          <w:p>
            <w:pPr>
              <w:spacing w:line="400" w:lineRule="exact"/>
              <w:ind w:firstLine="2640" w:firstLineChars="1100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危险化学品经营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0054" w:type="dxa"/>
            <w:gridSpan w:val="1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286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安全评价项目管理</w:t>
            </w:r>
          </w:p>
        </w:tc>
        <w:tc>
          <w:tcPr>
            <w:tcW w:w="309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项目组组长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技术负责人</w:t>
            </w:r>
          </w:p>
        </w:tc>
        <w:tc>
          <w:tcPr>
            <w:tcW w:w="296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2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309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朱继红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刘国勇 </w:t>
            </w:r>
          </w:p>
        </w:tc>
        <w:tc>
          <w:tcPr>
            <w:tcW w:w="2967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冯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286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编制过程</w:t>
            </w:r>
          </w:p>
        </w:tc>
        <w:tc>
          <w:tcPr>
            <w:tcW w:w="227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报告提交日期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报告审核人</w:t>
            </w:r>
          </w:p>
        </w:tc>
        <w:tc>
          <w:tcPr>
            <w:tcW w:w="224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2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2278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王永辉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2023.1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刘国勇 </w:t>
            </w:r>
          </w:p>
        </w:tc>
        <w:tc>
          <w:tcPr>
            <w:tcW w:w="224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姓  名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认定专业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注册证号</w:t>
            </w:r>
          </w:p>
        </w:tc>
        <w:tc>
          <w:tcPr>
            <w:tcW w:w="175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朱继红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化工工艺专业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007765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孟萌萌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电气专业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019246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王永辉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电气专业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034150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唐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波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机械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035894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席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刚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化工工艺专业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021106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陈红旭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机械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041366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田祖伟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安全工程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030719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何文勋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安全工程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035650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刘文娟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自动化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4F4F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019235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项目简介</w:t>
            </w:r>
          </w:p>
        </w:tc>
        <w:tc>
          <w:tcPr>
            <w:tcW w:w="8768" w:type="dxa"/>
            <w:gridSpan w:val="14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项目简介：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单位名称：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eastAsia="zh-CN"/>
              </w:rPr>
              <w:t>贵州省遵义三力石油化工有限公司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项目名称：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eastAsia="zh-CN"/>
              </w:rPr>
              <w:t>遵义市播州区万寿农用油料经营部（农机加油站）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地址：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eastAsia="zh-CN"/>
              </w:rPr>
              <w:t>遵义市播州区桂花桥街道万寿街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eastAsia="zh-CN"/>
              </w:rPr>
              <w:t>法定代表人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eastAsia="zh-CN"/>
              </w:rPr>
              <w:t>帅洁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  <w:t>站长：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兰新平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站长为加油站主要负责人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安全管理员：韦小霞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  <w:t>经营品种：汽油、柴油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  <w:t>加油站等级：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eastAsia="zh-CN"/>
              </w:rPr>
              <w:t>二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  <w:t>级加油站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占地面积：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0"/>
                <w:position w:val="0"/>
                <w:sz w:val="24"/>
                <w:szCs w:val="24"/>
                <w:u w:val="none"/>
                <w:lang w:eastAsia="zh-CN"/>
              </w:rPr>
              <w:t>3587.5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w w:val="100"/>
                <w:kern w:val="0"/>
                <w:position w:val="0"/>
                <w:sz w:val="24"/>
                <w:szCs w:val="24"/>
              </w:rPr>
              <w:t>建筑总面积：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760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员工人数：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人（其中站长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主要负责人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1人，安全管理员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人，加油员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人）。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油品储量：汽油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90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m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vertAlign w:val="superscript"/>
              </w:rPr>
              <w:t>3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、柴油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0m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vertAlign w:val="superscript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（分别为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座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0m³汽油储罐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（其中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92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superscript"/>
                <w:lang w:val="en-US" w:eastAsia="zh-CN"/>
              </w:rPr>
              <w:t>#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汽油储罐2座，95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superscript"/>
                <w:lang w:val="en-US" w:eastAsia="zh-CN"/>
              </w:rPr>
              <w:t>#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汽油储罐1座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，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座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0m³柴油储罐）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eastAsia="zh-CN"/>
              </w:rPr>
              <w:t>。依据《汽车加油加气加氢站技术标准》GB50156-2021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中第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eastAsia="zh-CN"/>
              </w:rPr>
              <w:t>“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3.0.9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eastAsia="zh-CN"/>
              </w:rPr>
              <w:t>”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条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eastAsia="zh-CN"/>
              </w:rPr>
              <w:t>，柴油罐容积折半计算后油站油罐总容积为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105m³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，为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eastAsia="zh-CN"/>
              </w:rPr>
              <w:t>二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级加油站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现场勘察照片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：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drawing>
                <wp:inline distT="0" distB="0" distL="114300" distR="114300">
                  <wp:extent cx="4267200" cy="259080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67200" cy="2590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286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现场开展工作情况</w:t>
            </w:r>
          </w:p>
        </w:tc>
        <w:tc>
          <w:tcPr>
            <w:tcW w:w="13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勘验人员</w:t>
            </w:r>
          </w:p>
        </w:tc>
        <w:tc>
          <w:tcPr>
            <w:tcW w:w="229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勘验时间</w:t>
            </w:r>
          </w:p>
        </w:tc>
        <w:tc>
          <w:tcPr>
            <w:tcW w:w="2973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勘验任务</w:t>
            </w:r>
          </w:p>
        </w:tc>
        <w:tc>
          <w:tcPr>
            <w:tcW w:w="211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2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朱继红</w:t>
            </w:r>
          </w:p>
        </w:tc>
        <w:tc>
          <w:tcPr>
            <w:tcW w:w="2291" w:type="dxa"/>
            <w:gridSpan w:val="4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2973" w:type="dxa"/>
            <w:gridSpan w:val="6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对项目情况、周边环境、法律法规的符合性进行勘察。</w:t>
            </w:r>
          </w:p>
        </w:tc>
        <w:tc>
          <w:tcPr>
            <w:tcW w:w="2114" w:type="dxa"/>
            <w:gridSpan w:val="2"/>
            <w:vMerge w:val="restart"/>
            <w:vAlign w:val="center"/>
          </w:tcPr>
          <w:p>
            <w:pPr>
              <w:pStyle w:val="3"/>
              <w:ind w:left="210" w:leftChars="0" w:hanging="210" w:hangingChars="100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val="en-US" w:eastAsia="zh-CN"/>
              </w:rPr>
              <w:t>1、油罐人孔内管道有金属构件未做静电接地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pStyle w:val="3"/>
              <w:ind w:left="210" w:leftChars="0" w:hanging="210" w:hangingChars="100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val="en-US" w:eastAsia="zh-CN"/>
              </w:rPr>
              <w:t>2、配电柜与发电机设置在同一个房间。</w:t>
            </w:r>
          </w:p>
          <w:p>
            <w:pPr>
              <w:pStyle w:val="3"/>
              <w:rPr>
                <w:rFonts w:hint="default" w:ascii="仿宋" w:hAnsi="仿宋" w:eastAsia="仿宋" w:cs="仿宋"/>
                <w:b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2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王永辉</w:t>
            </w:r>
          </w:p>
        </w:tc>
        <w:tc>
          <w:tcPr>
            <w:tcW w:w="2291" w:type="dxa"/>
            <w:gridSpan w:val="4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2973" w:type="dxa"/>
            <w:gridSpan w:val="6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对改造项目情况、周边环境、现场进行勘察并收集资料。</w:t>
            </w:r>
          </w:p>
        </w:tc>
        <w:tc>
          <w:tcPr>
            <w:tcW w:w="2114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E45C1A"/>
    <w:rsid w:val="4BE45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Body Text Indent 2"/>
    <w:basedOn w:val="1"/>
    <w:semiHidden/>
    <w:qFormat/>
    <w:uiPriority w:val="0"/>
    <w:pPr>
      <w:ind w:firstLine="480" w:firstLineChars="200"/>
    </w:pPr>
    <w:rPr>
      <w:sz w:val="24"/>
    </w:rPr>
  </w:style>
  <w:style w:type="paragraph" w:customStyle="1" w:styleId="6">
    <w:name w:val="样式 仿宋_GB2312 四号 行距: 1.5 倍行距"/>
    <w:basedOn w:val="1"/>
    <w:qFormat/>
    <w:uiPriority w:val="99"/>
    <w:pPr>
      <w:ind w:firstLine="560"/>
    </w:pPr>
    <w:rPr>
      <w:rFonts w:ascii="宋体" w:hAnsi="宋体"/>
      <w:color w:val="00000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2024-04-25T07:53:00Z</dcterms:created>
  <dc:creator>雷楠</dc:creator>
  <cp:lastModifiedBy>雷楠</cp:lastModifiedBy>
  <dcterms:modified xsi:type="dcterms:W3CDTF">2024-04-25T07:53:51Z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