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中石油</w:t>
            </w:r>
            <w:r>
              <w:rPr>
                <w:rFonts w:ascii="Arial" w:hAnsi="宋体" w:cs="Arial"/>
                <w:color w:val="000000"/>
              </w:rPr>
              <w:t>西南油气田分公司</w:t>
            </w:r>
            <w:r>
              <w:rPr>
                <w:rFonts w:hint="eastAsia" w:ascii="Arial" w:hAnsi="宋体" w:cs="Arial"/>
                <w:color w:val="000000"/>
              </w:rPr>
              <w:t>川中</w:t>
            </w:r>
            <w:r>
              <w:rPr>
                <w:rFonts w:ascii="Arial" w:hAnsi="宋体" w:cs="Arial"/>
                <w:color w:val="000000"/>
              </w:rPr>
              <w:t>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磨溪145井建设工程安全验收安全验收评价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√验收评价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磨溪145井建设工程（以下简称“本工程”）位于四川省广安市武胜县烈面镇玉屏村8组。本工程建设内容包括：1）新建磨溪145井站场1座：单井设计配产规模为50×104m3/d，站内主要设备包括：水套加热炉橇1套、气液分离器橇1套、放空分液罐橇1套、放空火炬1套、缓蚀剂加注橇1套、水合物抑制剂加注橇1套；2）改建磨溪31X1井集气站1座：扩建清管阀组1套；3）新建磨溪145井～磨溪31X1井集气站集气管线：管线规格为Φ168.3×8（10）L360QS PLS2 无缝钢管，设计全长7.7km，设计规模50×104m3/d，设计压力12MPa；4）新建磨溪31X1井集气站～磨溪145井燃气管线：管线规格为Φ60.3×5 L245N无缝钢管，与集气管线同沟敷设，设计压力6.3MPa；5）配套的自控、通信、防腐、供配电及阴极保护等公用工程及辅助工程。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eastAsia="宋体"/>
                <w:b/>
                <w:bCs/>
                <w:lang w:eastAsia="zh-CN"/>
              </w:rPr>
            </w:pPr>
            <w:r>
              <w:drawing>
                <wp:inline distT="0" distB="0" distL="114300" distR="114300">
                  <wp:extent cx="4114800" cy="267652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0" cy="2676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4.3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ind w:firstLine="56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1.</w:t>
            </w:r>
          </w:p>
          <w:p>
            <w:pPr>
              <w:ind w:firstLine="56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01E82"/>
    <w:rsid w:val="57501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2024-06-18T03:31:00Z</dcterms:created>
  <dc:creator>雷楠</dc:creator>
  <cp:lastModifiedBy>雷楠</cp:lastModifiedBy>
  <dcterms:modified xsi:type="dcterms:W3CDTF">2024-06-18T03:31:17Z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