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16094"/>
      <w:bookmarkStart w:id="1" w:name="_Toc29322"/>
      <w:bookmarkStart w:id="2" w:name="_Toc27661"/>
      <w:bookmarkStart w:id="3" w:name="_Toc16246"/>
      <w:bookmarkStart w:id="4" w:name="_Toc24090"/>
      <w:r>
        <w:rPr>
          <w:rFonts w:hint="eastAsia" w:ascii="仿宋" w:hAnsi="仿宋" w:eastAsia="仿宋"/>
          <w:b/>
          <w:sz w:val="28"/>
        </w:rPr>
        <w:t>安全评价报告信息公布表</w:t>
      </w:r>
      <w:bookmarkEnd w:id="0"/>
      <w:bookmarkEnd w:id="1"/>
      <w:bookmarkEnd w:id="2"/>
      <w:bookmarkEnd w:id="3"/>
      <w:bookmarkEnd w:id="4"/>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316"/>
        <w:gridCol w:w="633"/>
        <w:gridCol w:w="311"/>
        <w:gridCol w:w="1287"/>
        <w:gridCol w:w="163"/>
        <w:gridCol w:w="429"/>
        <w:gridCol w:w="290"/>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机构名称</w:t>
            </w:r>
          </w:p>
        </w:tc>
        <w:tc>
          <w:tcPr>
            <w:tcW w:w="3936"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kern w:val="0"/>
              </w:rPr>
              <w:t>重庆市安全生产科学研究有限公司</w:t>
            </w:r>
          </w:p>
        </w:tc>
        <w:tc>
          <w:tcPr>
            <w:tcW w:w="1598"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资质证号</w:t>
            </w:r>
          </w:p>
        </w:tc>
        <w:tc>
          <w:tcPr>
            <w:tcW w:w="3038"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lang w:val="en-US" w:eastAsia="zh-CN"/>
              </w:rPr>
            </w:pPr>
            <w:r>
              <w:rPr>
                <w:rFonts w:hint="eastAsia" w:ascii="仿宋" w:hAnsi="仿宋" w:eastAsia="仿宋"/>
              </w:rPr>
              <w:t>中国石油天然气股份有限公司重庆合川销售分公司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default" w:ascii="仿宋" w:hAnsi="仿宋" w:eastAsia="仿宋"/>
                <w:lang w:val="en-US" w:eastAsia="zh-CN"/>
              </w:rPr>
            </w:pPr>
            <w:r>
              <w:rPr>
                <w:rFonts w:hint="eastAsia" w:ascii="仿宋" w:hAnsi="仿宋" w:eastAsia="仿宋"/>
                <w:lang w:val="en-US" w:eastAsia="zh-CN"/>
              </w:rPr>
              <w:t>云门加油站安全现状评价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lang w:eastAsia="zh-CN"/>
              </w:rPr>
              <w:t>□</w:t>
            </w:r>
            <w:r>
              <w:rPr>
                <w:rFonts w:hint="eastAsia" w:ascii="仿宋" w:hAnsi="仿宋" w:eastAsia="仿宋"/>
              </w:rPr>
              <w:t xml:space="preserve">预评价  </w:t>
            </w:r>
            <w:r>
              <w:rPr>
                <w:rFonts w:hint="eastAsia" w:ascii="仿宋" w:hAnsi="仿宋" w:eastAsia="仿宋"/>
                <w:lang w:eastAsia="zh-CN"/>
              </w:rPr>
              <w:t>☑</w:t>
            </w:r>
            <w:r>
              <w:rPr>
                <w:rFonts w:hint="eastAsia" w:ascii="仿宋" w:hAnsi="仿宋" w:eastAsia="仿宋"/>
              </w:rPr>
              <w:t xml:space="preserve">现状评价   </w:t>
            </w:r>
            <w:r>
              <w:rPr>
                <w:rFonts w:hint="eastAsia" w:ascii="仿宋" w:hAnsi="仿宋" w:eastAsia="仿宋"/>
                <w:lang w:eastAsia="zh-CN"/>
              </w:rPr>
              <w:t>□</w:t>
            </w:r>
            <w:r>
              <w:rPr>
                <w:rFonts w:hint="eastAsia" w:ascii="仿宋" w:hAnsi="仿宋" w:eastAsia="仿宋"/>
              </w:rPr>
              <w:t xml:space="preserve">验收评价  </w:t>
            </w:r>
            <w:r>
              <w:rPr>
                <w:rFonts w:hint="eastAsia" w:ascii="仿宋" w:hAnsi="仿宋" w:eastAsia="仿宋"/>
                <w:lang w:eastAsia="zh-CN"/>
              </w:rPr>
              <w:t>□</w:t>
            </w:r>
            <w:r>
              <w:rPr>
                <w:rFonts w:hint="eastAsia" w:ascii="仿宋" w:hAnsi="仿宋" w:eastAsia="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rPr>
            </w:pPr>
            <w:r>
              <w:rPr>
                <w:rFonts w:hint="eastAsia" w:ascii="仿宋" w:hAnsi="仿宋" w:eastAsia="仿宋"/>
                <w:b/>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hint="default" w:ascii="仿宋" w:hAnsi="仿宋" w:eastAsia="仿宋"/>
                <w:lang w:val="en-US" w:eastAsia="zh-CN"/>
              </w:rPr>
            </w:pPr>
            <w:r>
              <w:rPr>
                <w:rFonts w:hint="eastAsia" w:ascii="仿宋" w:hAnsi="仿宋" w:eastAsia="仿宋"/>
                <w:lang w:val="en-US"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安全评价项目管理</w:t>
            </w:r>
          </w:p>
        </w:tc>
        <w:tc>
          <w:tcPr>
            <w:tcW w:w="2987"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项目组组长</w:t>
            </w:r>
          </w:p>
        </w:tc>
        <w:tc>
          <w:tcPr>
            <w:tcW w:w="2710"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技术负责人</w:t>
            </w:r>
          </w:p>
        </w:tc>
        <w:tc>
          <w:tcPr>
            <w:tcW w:w="28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7"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default" w:ascii="仿宋" w:hAnsi="仿宋" w:eastAsia="仿宋"/>
                <w:lang w:val="en-US" w:eastAsia="zh-CN"/>
              </w:rPr>
            </w:pPr>
            <w:r>
              <w:rPr>
                <w:rFonts w:hint="eastAsia" w:ascii="仿宋" w:hAnsi="仿宋" w:eastAsia="仿宋"/>
                <w:lang w:val="en-US" w:eastAsia="zh-CN"/>
              </w:rPr>
              <w:t>闫云光</w:t>
            </w:r>
          </w:p>
        </w:tc>
        <w:tc>
          <w:tcPr>
            <w:tcW w:w="2710"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default" w:ascii="仿宋" w:hAnsi="仿宋" w:eastAsia="仿宋"/>
                <w:lang w:val="en-US" w:eastAsia="zh-CN"/>
              </w:rPr>
            </w:pPr>
            <w:r>
              <w:rPr>
                <w:rFonts w:hint="eastAsia" w:ascii="仿宋" w:hAnsi="仿宋" w:eastAsia="仿宋"/>
                <w:lang w:val="en-US" w:eastAsia="zh-CN"/>
              </w:rPr>
              <w:t>刘国勇</w:t>
            </w:r>
          </w:p>
        </w:tc>
        <w:tc>
          <w:tcPr>
            <w:tcW w:w="2875"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编制过程</w:t>
            </w:r>
          </w:p>
        </w:tc>
        <w:tc>
          <w:tcPr>
            <w:tcW w:w="2174"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报告审核人</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4"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林先洪</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default" w:ascii="仿宋" w:hAnsi="仿宋" w:eastAsia="仿宋"/>
                <w:lang w:val="en-US" w:eastAsia="zh-CN"/>
              </w:rPr>
            </w:pPr>
            <w:r>
              <w:rPr>
                <w:rFonts w:hint="eastAsia" w:ascii="仿宋" w:hAnsi="仿宋" w:eastAsia="仿宋"/>
                <w:lang w:val="en-US" w:eastAsia="zh-CN"/>
              </w:rPr>
              <w:t>2024.4</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lang w:eastAsia="zh-CN"/>
              </w:rPr>
            </w:pPr>
            <w:r>
              <w:rPr>
                <w:rFonts w:hint="eastAsia" w:ascii="仿宋" w:hAnsi="仿宋" w:eastAsia="仿宋"/>
                <w:lang w:eastAsia="zh-CN"/>
              </w:rPr>
              <w:t>何文勋</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姓  名</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认定专业</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注册安全工程师</w:t>
            </w:r>
          </w:p>
          <w:p>
            <w:pPr>
              <w:spacing w:line="300" w:lineRule="exact"/>
              <w:jc w:val="center"/>
              <w:rPr>
                <w:rFonts w:hint="eastAsia" w:ascii="仿宋" w:hAnsi="仿宋" w:eastAsia="仿宋"/>
                <w:b/>
              </w:rPr>
            </w:pPr>
            <w:r>
              <w:rPr>
                <w:rFonts w:hint="eastAsia" w:ascii="仿宋" w:hAnsi="仿宋" w:eastAsia="仿宋"/>
                <w:b/>
              </w:rPr>
              <w:t>注册证号</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王梅</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电气</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S011053000110191001147/019244</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55090076425</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唐波</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化工机械</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S011053000110192003004/035894</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闫云光</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电气</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S011053000110192002943/035582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55210262938</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林  波</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化工工艺</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S011053000110192002987/035615</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55190209531</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default" w:ascii="仿宋" w:hAnsi="仿宋" w:eastAsia="仿宋" w:cs="Times New Roman"/>
                <w:lang w:val="en-US" w:eastAsia="zh-CN"/>
              </w:rPr>
              <w:t>李  伟</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机械专业</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1800000000201223/020783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薛国臣</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化工工艺</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S011041000110192002238/025841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55130140246</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周智健</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安全</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S011053000110203001660/039956</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19210260456</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default" w:ascii="仿宋" w:hAnsi="仿宋" w:eastAsia="仿宋" w:cs="Times New Roman"/>
                <w:lang w:val="en-US" w:eastAsia="zh-CN"/>
              </w:rPr>
              <w:t>高胡容</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安全</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S011053000110192002940/037978</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default" w:ascii="仿宋" w:hAnsi="仿宋" w:eastAsia="仿宋" w:cs="Times New Roman"/>
                <w:lang w:val="en-US" w:eastAsia="zh-CN"/>
              </w:rPr>
              <w:t>刘文娟</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自动化</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1700000000201153/019235</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55140156484</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林先洪</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冶金</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S011011000110193000064/036140</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55210262947</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何文勋</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安全</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_GB2312" w:cs="Times New Roman"/>
                <w:lang w:val="en-US" w:eastAsia="zh-CN"/>
              </w:rPr>
            </w:pPr>
            <w:r>
              <w:rPr>
                <w:rFonts w:hint="eastAsia" w:ascii="仿宋" w:hAnsi="仿宋" w:eastAsia="仿宋_GB2312" w:cs="Times New Roman"/>
                <w:lang w:val="en-US" w:eastAsia="zh-CN"/>
              </w:rPr>
              <w:t>S011053000110193002272/035650</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刘国勇</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化工工艺</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Times New Roman"/>
                <w:lang w:val="en-US" w:eastAsia="zh-CN"/>
              </w:rPr>
            </w:pPr>
            <w:r>
              <w:rPr>
                <w:rFonts w:hint="eastAsia" w:ascii="仿宋" w:hAnsi="仿宋" w:eastAsia="仿宋" w:cs="Times New Roman"/>
                <w:lang w:val="en-US" w:eastAsia="zh-CN"/>
              </w:rPr>
              <w:t>1800000000100099/019234</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lang w:val="en-US" w:eastAsia="zh-CN"/>
              </w:rPr>
            </w:pPr>
            <w:r>
              <w:rPr>
                <w:rFonts w:hint="eastAsia" w:ascii="仿宋" w:hAnsi="仿宋" w:eastAsia="仿宋" w:cs="Times New Roman"/>
                <w:lang w:val="en-US" w:eastAsia="zh-CN"/>
              </w:rPr>
              <w:t>55060013805</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cs="Times New Roman"/>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rPr>
            </w:pPr>
            <w:r>
              <w:rPr>
                <w:rFonts w:ascii="仿宋" w:hAnsi="仿宋" w:eastAsia="仿宋" w:cs="Times New Roman"/>
              </w:rPr>
              <w:t>冯  皓</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机械</w:t>
            </w:r>
          </w:p>
        </w:tc>
        <w:tc>
          <w:tcPr>
            <w:tcW w:w="2661"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S011053000110201000802/019237</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 w:hAnsi="仿宋" w:eastAsia="仿宋"/>
              </w:rPr>
            </w:pPr>
            <w:r>
              <w:rPr>
                <w:rFonts w:hint="eastAsia" w:ascii="仿宋" w:hAnsi="仿宋" w:eastAsia="仿宋" w:cs="宋体"/>
                <w:b/>
                <w:szCs w:val="21"/>
              </w:rPr>
              <w:t>项目简介：</w:t>
            </w:r>
            <w:r>
              <w:rPr>
                <w:rFonts w:hint="eastAsia" w:ascii="Arial" w:hAnsi="Arial"/>
                <w:szCs w:val="28"/>
              </w:rPr>
              <w:t>中国石油天然气股份有限公司重庆合川销售分公司云门加油站位于重庆市合川区云门街道</w:t>
            </w:r>
            <w:r>
              <w:rPr>
                <w:rFonts w:hint="eastAsia" w:ascii="Arial" w:hAnsi="Arial"/>
                <w:szCs w:val="28"/>
                <w:lang w:val="en-US" w:eastAsia="zh-CN"/>
              </w:rPr>
              <w:t>办事处步云路329号</w:t>
            </w:r>
            <w:r>
              <w:rPr>
                <w:rFonts w:hint="eastAsia" w:ascii="Arial" w:hAnsi="Arial"/>
                <w:szCs w:val="28"/>
              </w:rPr>
              <w:t>，20</w:t>
            </w:r>
            <w:r>
              <w:rPr>
                <w:rFonts w:ascii="Arial" w:hAnsi="Arial"/>
                <w:szCs w:val="28"/>
              </w:rPr>
              <w:t>0</w:t>
            </w:r>
            <w:r>
              <w:rPr>
                <w:rFonts w:hint="eastAsia" w:ascii="Arial" w:hAnsi="Arial"/>
                <w:szCs w:val="28"/>
              </w:rPr>
              <w:t>1年建成，2018年进行防渗漏改造并通过安全验收</w:t>
            </w:r>
            <w:r>
              <w:rPr>
                <w:rFonts w:hint="eastAsia" w:ascii="Arial" w:hAnsi="Arial"/>
              </w:rPr>
              <w:t>。</w:t>
            </w:r>
            <w:r>
              <w:rPr>
                <w:rFonts w:hint="eastAsia" w:ascii="Arial" w:hAnsi="Arial"/>
                <w:color w:val="000000"/>
              </w:rPr>
              <w:t>该加油站</w:t>
            </w:r>
            <w:r>
              <w:rPr>
                <w:rFonts w:hint="eastAsia" w:ascii="Arial" w:hAnsi="Arial"/>
                <w:color w:val="000000"/>
                <w:kern w:val="0"/>
                <w:szCs w:val="28"/>
              </w:rPr>
              <w:t>占地面积181</w:t>
            </w:r>
            <w:r>
              <w:rPr>
                <w:rFonts w:hint="eastAsia" w:ascii="Arial" w:hAnsi="Arial"/>
                <w:color w:val="000000"/>
                <w:kern w:val="0"/>
                <w:szCs w:val="28"/>
                <w:lang w:val="en-US" w:eastAsia="zh-CN"/>
              </w:rPr>
              <w:t>6</w:t>
            </w:r>
            <w:r>
              <w:rPr>
                <w:rFonts w:hint="eastAsia" w:ascii="Arial" w:hAnsi="Arial"/>
                <w:color w:val="000000"/>
                <w:kern w:val="0"/>
                <w:szCs w:val="28"/>
              </w:rPr>
              <w:t>m</w:t>
            </w:r>
            <w:r>
              <w:rPr>
                <w:rFonts w:hint="eastAsia" w:ascii="Arial" w:hAnsi="Arial"/>
                <w:color w:val="000000"/>
                <w:kern w:val="0"/>
                <w:szCs w:val="28"/>
                <w:vertAlign w:val="superscript"/>
              </w:rPr>
              <w:t>2</w:t>
            </w:r>
            <w:r>
              <w:rPr>
                <w:rFonts w:hint="eastAsia" w:ascii="Arial" w:hAnsi="Arial"/>
                <w:color w:val="000000"/>
                <w:kern w:val="0"/>
                <w:szCs w:val="28"/>
              </w:rPr>
              <w:t>，建筑面积</w:t>
            </w:r>
            <w:r>
              <w:rPr>
                <w:rFonts w:hint="eastAsia" w:ascii="Arial" w:hAnsi="Arial"/>
                <w:color w:val="000000"/>
                <w:kern w:val="0"/>
                <w:szCs w:val="28"/>
                <w:lang w:val="en-US" w:eastAsia="zh-CN"/>
              </w:rPr>
              <w:t>310</w:t>
            </w:r>
            <w:r>
              <w:rPr>
                <w:rFonts w:hint="eastAsia" w:ascii="Arial" w:hAnsi="Arial"/>
                <w:color w:val="000000"/>
                <w:kern w:val="0"/>
                <w:szCs w:val="28"/>
              </w:rPr>
              <w:t>m</w:t>
            </w:r>
            <w:r>
              <w:rPr>
                <w:rFonts w:hint="eastAsia" w:ascii="Arial" w:hAnsi="Arial"/>
                <w:color w:val="000000"/>
                <w:kern w:val="0"/>
                <w:szCs w:val="28"/>
                <w:vertAlign w:val="superscript"/>
              </w:rPr>
              <w:t>2</w:t>
            </w:r>
            <w:r>
              <w:rPr>
                <w:rFonts w:hint="eastAsia" w:ascii="Arial" w:hAnsi="Arial"/>
                <w:color w:val="000000"/>
                <w:kern w:val="0"/>
                <w:szCs w:val="28"/>
                <w:vertAlign w:val="baseline"/>
                <w:lang w:eastAsia="zh-CN"/>
              </w:rPr>
              <w:t>（</w:t>
            </w:r>
            <w:r>
              <w:rPr>
                <w:rFonts w:hint="eastAsia" w:ascii="Arial" w:hAnsi="Arial"/>
                <w:color w:val="000000"/>
                <w:kern w:val="0"/>
                <w:szCs w:val="28"/>
                <w:vertAlign w:val="baseline"/>
                <w:lang w:val="en-US" w:eastAsia="zh-CN"/>
              </w:rPr>
              <w:t>罩棚面积180</w:t>
            </w:r>
            <w:r>
              <w:rPr>
                <w:rFonts w:hint="eastAsia" w:ascii="Arial" w:hAnsi="Arial"/>
                <w:color w:val="000000"/>
                <w:kern w:val="0"/>
                <w:szCs w:val="28"/>
              </w:rPr>
              <w:t>m</w:t>
            </w:r>
            <w:r>
              <w:rPr>
                <w:rFonts w:hint="eastAsia" w:ascii="Arial" w:hAnsi="Arial"/>
                <w:color w:val="000000"/>
                <w:kern w:val="0"/>
                <w:szCs w:val="28"/>
                <w:vertAlign w:val="superscript"/>
              </w:rPr>
              <w:t>2</w:t>
            </w:r>
            <w:r>
              <w:rPr>
                <w:rFonts w:hint="eastAsia" w:ascii="Arial" w:hAnsi="Arial"/>
                <w:color w:val="000000"/>
                <w:kern w:val="0"/>
                <w:szCs w:val="28"/>
                <w:vertAlign w:val="baseline"/>
                <w:lang w:val="en-US" w:eastAsia="zh-CN"/>
              </w:rPr>
              <w:t>折半计入</w:t>
            </w:r>
            <w:r>
              <w:rPr>
                <w:rFonts w:hint="eastAsia" w:ascii="Arial" w:hAnsi="Arial"/>
                <w:color w:val="000000"/>
                <w:kern w:val="0"/>
                <w:szCs w:val="28"/>
                <w:vertAlign w:val="baseline"/>
                <w:lang w:eastAsia="zh-CN"/>
              </w:rPr>
              <w:t>）</w:t>
            </w:r>
            <w:r>
              <w:rPr>
                <w:rFonts w:hint="eastAsia" w:ascii="Arial" w:hAnsi="Arial"/>
                <w:color w:val="000000"/>
                <w:kern w:val="0"/>
                <w:szCs w:val="28"/>
              </w:rPr>
              <w:t>，</w:t>
            </w:r>
            <w:r>
              <w:rPr>
                <w:rFonts w:hint="eastAsia" w:ascii="Arial" w:hAnsi="Arial"/>
                <w:color w:val="000000"/>
              </w:rPr>
              <w:t>站内设2</w:t>
            </w:r>
            <w:r>
              <w:rPr>
                <w:rFonts w:ascii="Arial" w:hAnsi="Arial"/>
                <w:color w:val="000000"/>
              </w:rPr>
              <w:t>0</w:t>
            </w:r>
            <w:r>
              <w:rPr>
                <w:rFonts w:hint="eastAsia" w:ascii="Arial" w:hAnsi="Arial"/>
                <w:color w:val="000000"/>
              </w:rPr>
              <w:t>m</w:t>
            </w:r>
            <w:r>
              <w:rPr>
                <w:rFonts w:hint="eastAsia" w:ascii="Arial" w:hAnsi="Arial"/>
                <w:color w:val="000000"/>
                <w:vertAlign w:val="superscript"/>
              </w:rPr>
              <w:t>3</w:t>
            </w:r>
            <w:r>
              <w:rPr>
                <w:rFonts w:hint="eastAsia" w:ascii="Arial" w:hAnsi="Arial"/>
                <w:color w:val="000000"/>
              </w:rPr>
              <w:t>的92#汽油罐、95#汽油罐各</w:t>
            </w:r>
            <w:r>
              <w:rPr>
                <w:rFonts w:hint="eastAsia" w:ascii="Arial" w:hAnsi="Arial"/>
                <w:color w:val="000000"/>
                <w:kern w:val="0"/>
                <w:szCs w:val="28"/>
              </w:rPr>
              <w:t>1座</w:t>
            </w:r>
            <w:r>
              <w:rPr>
                <w:rFonts w:hint="eastAsia" w:ascii="Arial" w:hAnsi="Arial"/>
                <w:color w:val="000000"/>
              </w:rPr>
              <w:t>，3</w:t>
            </w:r>
            <w:r>
              <w:rPr>
                <w:rFonts w:ascii="Arial" w:hAnsi="Arial"/>
                <w:color w:val="000000"/>
              </w:rPr>
              <w:t>0</w:t>
            </w:r>
            <w:r>
              <w:rPr>
                <w:rFonts w:hint="eastAsia" w:ascii="Arial" w:hAnsi="Arial"/>
                <w:color w:val="000000"/>
              </w:rPr>
              <w:t>m</w:t>
            </w:r>
            <w:r>
              <w:rPr>
                <w:rFonts w:hint="eastAsia" w:ascii="Arial" w:hAnsi="Arial"/>
                <w:color w:val="000000"/>
                <w:vertAlign w:val="superscript"/>
              </w:rPr>
              <w:t>3</w:t>
            </w:r>
            <w:r>
              <w:rPr>
                <w:rFonts w:hint="eastAsia" w:ascii="Arial" w:hAnsi="Arial"/>
                <w:color w:val="000000"/>
              </w:rPr>
              <w:t>的</w:t>
            </w:r>
            <w:r>
              <w:rPr>
                <w:rFonts w:hint="eastAsia" w:ascii="Arial" w:hAnsi="Arial"/>
                <w:color w:val="000000"/>
                <w:kern w:val="0"/>
                <w:szCs w:val="28"/>
              </w:rPr>
              <w:t>0#柴油罐1座，两枪加油机2台，四枪加油机1台，属于三级加油站，主要经营92#汽油、95#汽油和0#柴油</w:t>
            </w:r>
          </w:p>
          <w:p>
            <w:pPr>
              <w:adjustRightInd w:val="0"/>
              <w:snapToGrid w:val="0"/>
              <w:rPr>
                <w:rFonts w:hint="eastAsia" w:ascii="仿宋" w:hAnsi="仿宋" w:eastAsia="仿宋" w:cs="宋体"/>
                <w:szCs w:val="21"/>
              </w:rPr>
            </w:pPr>
            <w:r>
              <w:rPr>
                <w:rFonts w:hint="eastAsia" w:ascii="仿宋" w:hAnsi="仿宋" w:eastAsia="仿宋" w:cs="宋体"/>
                <w:b/>
                <w:szCs w:val="21"/>
              </w:rPr>
              <w:t>现场勘察照片</w:t>
            </w:r>
            <w:r>
              <w:rPr>
                <w:rFonts w:hint="eastAsia" w:ascii="仿宋" w:hAnsi="仿宋" w:eastAsia="仿宋" w:cs="宋体"/>
                <w:szCs w:val="21"/>
              </w:rPr>
              <w:t>：</w:t>
            </w:r>
          </w:p>
          <w:p>
            <w:pPr>
              <w:pStyle w:val="2"/>
              <w:rPr>
                <w:rFonts w:hint="eastAsia" w:ascii="仿宋" w:hAnsi="仿宋" w:eastAsia="仿宋" w:cs="宋体"/>
                <w:szCs w:val="21"/>
                <w:lang w:eastAsia="zh-CN"/>
              </w:rPr>
            </w:pPr>
            <w:r>
              <w:drawing>
                <wp:inline distT="0" distB="0" distL="114300" distR="114300">
                  <wp:extent cx="3305175" cy="43243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305175" cy="43243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现场开展工作情况</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勘验人员</w:t>
            </w:r>
          </w:p>
        </w:tc>
        <w:tc>
          <w:tcPr>
            <w:tcW w:w="171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勘验时间</w:t>
            </w:r>
          </w:p>
        </w:tc>
        <w:tc>
          <w:tcPr>
            <w:tcW w:w="282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勘验任务</w:t>
            </w:r>
          </w:p>
        </w:tc>
        <w:tc>
          <w:tcPr>
            <w:tcW w:w="2446"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rPr>
            </w:pP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仿宋" w:hAnsi="仿宋" w:eastAsia="仿宋"/>
                <w:lang w:val="en-US" w:eastAsia="zh-CN"/>
              </w:rPr>
            </w:pPr>
            <w:r>
              <w:rPr>
                <w:rFonts w:hint="eastAsia" w:ascii="仿宋" w:hAnsi="仿宋" w:eastAsia="仿宋"/>
                <w:lang w:val="en-US" w:eastAsia="zh-CN"/>
              </w:rPr>
              <w:t>闫云光</w:t>
            </w:r>
          </w:p>
        </w:tc>
        <w:tc>
          <w:tcPr>
            <w:tcW w:w="171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仿宋" w:hAnsi="仿宋" w:eastAsia="仿宋"/>
                <w:lang w:val="en-US" w:eastAsia="zh-CN"/>
              </w:rPr>
            </w:pPr>
            <w:r>
              <w:rPr>
                <w:rFonts w:hint="eastAsia" w:ascii="仿宋" w:hAnsi="仿宋" w:eastAsia="仿宋"/>
                <w:lang w:val="en-US" w:eastAsia="zh-CN"/>
              </w:rPr>
              <w:t>2024.3.7</w:t>
            </w:r>
          </w:p>
        </w:tc>
        <w:tc>
          <w:tcPr>
            <w:tcW w:w="282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对项目情况周边环境、法律法规与项目总平面布置进行勘察</w:t>
            </w:r>
          </w:p>
        </w:tc>
        <w:tc>
          <w:tcPr>
            <w:tcW w:w="2446" w:type="dxa"/>
            <w:gridSpan w:val="3"/>
            <w:vMerge w:val="restart"/>
            <w:tcBorders>
              <w:top w:val="single" w:color="auto" w:sz="4" w:space="0"/>
              <w:left w:val="single" w:color="auto" w:sz="4" w:space="0"/>
              <w:right w:val="single" w:color="auto" w:sz="4" w:space="0"/>
            </w:tcBorders>
            <w:noWrap w:val="0"/>
            <w:vAlign w:val="center"/>
          </w:tcPr>
          <w:p>
            <w:pPr>
              <w:pStyle w:val="2"/>
              <w:numPr>
                <w:ilvl w:val="0"/>
                <w:numId w:val="0"/>
              </w:numPr>
              <w:ind w:leftChars="0"/>
              <w:rPr>
                <w:rFonts w:hint="default" w:ascii="Arial" w:hAnsi="Arial" w:cs="Arial"/>
                <w:lang w:val="en-US" w:eastAsia="zh-CN"/>
              </w:rPr>
            </w:pPr>
            <w:r>
              <w:rPr>
                <w:rFonts w:hint="eastAsia" w:ascii="Arial" w:hAnsi="Arial" w:cs="Arial"/>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default" w:ascii="仿宋" w:hAnsi="仿宋" w:eastAsia="仿宋"/>
                <w:b/>
                <w:lang w:val="en-US" w:eastAsia="zh-CN"/>
              </w:rPr>
            </w:pPr>
            <w:r>
              <w:rPr>
                <w:rFonts w:hint="eastAsia" w:ascii="仿宋" w:hAnsi="仿宋" w:eastAsia="仿宋"/>
                <w:b/>
                <w:lang w:val="en-US" w:eastAsia="zh-CN"/>
              </w:rPr>
              <w:t>李鹏</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仿宋" w:hAnsi="仿宋" w:eastAsia="仿宋"/>
                <w:kern w:val="2"/>
                <w:sz w:val="21"/>
                <w:szCs w:val="24"/>
                <w:lang w:val="en-US" w:eastAsia="zh-CN" w:bidi="ar-SA"/>
              </w:rPr>
            </w:pPr>
            <w:r>
              <w:rPr>
                <w:rFonts w:hint="eastAsia" w:ascii="仿宋" w:hAnsi="仿宋" w:eastAsia="仿宋"/>
                <w:lang w:val="en-US" w:eastAsia="zh-CN"/>
              </w:rPr>
              <w:t>林先洪</w:t>
            </w:r>
          </w:p>
        </w:tc>
        <w:tc>
          <w:tcPr>
            <w:tcW w:w="171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仿宋" w:hAnsi="仿宋" w:eastAsia="仿宋" w:cs="宋体"/>
                <w:kern w:val="0"/>
                <w:sz w:val="21"/>
                <w:szCs w:val="21"/>
                <w:lang w:val="en-US" w:eastAsia="zh-CN" w:bidi="ar-SA"/>
              </w:rPr>
            </w:pPr>
            <w:r>
              <w:rPr>
                <w:rFonts w:hint="eastAsia" w:ascii="仿宋" w:hAnsi="仿宋" w:eastAsia="仿宋"/>
                <w:lang w:val="en-US" w:eastAsia="zh-CN"/>
              </w:rPr>
              <w:t>2024.3.7</w:t>
            </w:r>
          </w:p>
        </w:tc>
        <w:tc>
          <w:tcPr>
            <w:tcW w:w="282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kern w:val="2"/>
                <w:sz w:val="21"/>
                <w:szCs w:val="24"/>
                <w:lang w:val="en-US" w:eastAsia="zh-CN" w:bidi="ar-SA"/>
              </w:rPr>
            </w:pPr>
            <w:r>
              <w:rPr>
                <w:rFonts w:hint="eastAsia" w:ascii="仿宋" w:hAnsi="仿宋" w:eastAsia="仿宋"/>
              </w:rPr>
              <w:t>对项目情况周边环境、法律法规与项目总平面布置进行勘察</w:t>
            </w:r>
            <w:r>
              <w:rPr>
                <w:rFonts w:hint="eastAsia" w:ascii="仿宋" w:hAnsi="仿宋" w:eastAsia="仿宋"/>
                <w:lang w:val="en-US" w:eastAsia="zh-CN"/>
              </w:rPr>
              <w:t>/</w:t>
            </w:r>
            <w:r>
              <w:rPr>
                <w:rFonts w:hint="eastAsia" w:ascii="仿宋" w:hAnsi="仿宋" w:eastAsia="仿宋"/>
              </w:rPr>
              <w:t>项目资料收集</w:t>
            </w:r>
          </w:p>
        </w:tc>
        <w:tc>
          <w:tcPr>
            <w:tcW w:w="2446" w:type="dxa"/>
            <w:gridSpan w:val="3"/>
            <w:vMerge w:val="continue"/>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D45F38"/>
    <w:rsid w:val="15D45F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2024-04-16T02:57:00Z</dcterms:created>
  <dc:creator>雷楠</dc:creator>
  <cp:lastModifiedBy>雷楠</cp:lastModifiedBy>
  <dcterms:modified xsi:type="dcterms:W3CDTF">2024-04-16T02:57:36Z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