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重庆市万州区坤银矿业有限公司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重庆市万州区坤银矿业有限公司建筑石料用灰岩矿山（改建）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hint="eastAsia" w:ascii="仿宋" w:hAnsi="仿宋" w:eastAsia="仿宋" w:cs="仿宋"/>
                <w:color w:val="000000"/>
                <w:spacing w:val="-14"/>
                <w:szCs w:val="21"/>
                <w:lang w:val="en-US" w:eastAsia="zh-CN"/>
              </w:rPr>
              <w:t>4</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_GB2312" w:hAnsi="仿宋_GB2312" w:eastAsia="仿宋_GB2312" w:cs="仿宋_GB2312"/>
                <w:color w:val="000000"/>
                <w:sz w:val="24"/>
                <w:szCs w:val="24"/>
              </w:rPr>
            </w:pPr>
            <w:r>
              <w:rPr>
                <w:rFonts w:ascii="仿宋" w:hAnsi="仿宋" w:eastAsia="仿宋" w:cs="仿宋"/>
                <w:color w:val="000000"/>
                <w:szCs w:val="21"/>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pStyle w:val="2"/>
              <w:rPr>
                <w:rFonts w:ascii="仿宋" w:hAnsi="仿宋" w:eastAsia="仿宋" w:cs="仿宋"/>
                <w:szCs w:val="21"/>
              </w:rPr>
            </w:pPr>
            <w:r>
              <w:rPr>
                <w:rFonts w:hint="eastAsia" w:ascii="仿宋" w:hAnsi="仿宋" w:eastAsia="仿宋" w:cs="仿宋"/>
                <w:szCs w:val="21"/>
              </w:rPr>
              <w:t>重庆市万州区坤银矿业有限公司成立于2012年07月09日，统一社会信用代码91500101050353605Q，法定代表人：张优荣，经济类型属有限责任公司。经营范围：露天开采建筑石料用灰岩，销售建筑材料。</w:t>
            </w:r>
            <w:r>
              <w:rPr>
                <w:rFonts w:ascii="仿宋" w:hAnsi="仿宋" w:eastAsia="仿宋" w:cs="仿宋"/>
                <w:szCs w:val="21"/>
              </w:rPr>
              <w:t>重庆市万州区坤银矿业有限公司建筑石料用灰岩矿山</w:t>
            </w:r>
            <w:r>
              <w:rPr>
                <w:rFonts w:hint="eastAsia" w:ascii="仿宋" w:hAnsi="仿宋" w:eastAsia="仿宋" w:cs="仿宋"/>
                <w:szCs w:val="21"/>
              </w:rPr>
              <w:t>已取得了采矿许可证和安全生产许可证，矿山露天开采建筑石料用灰岩，生产规模：100万t/a。</w:t>
            </w:r>
          </w:p>
          <w:p>
            <w:pPr>
              <w:pStyle w:val="2"/>
              <w:rPr>
                <w:rFonts w:ascii="仿宋" w:hAnsi="仿宋" w:eastAsia="仿宋" w:cs="仿宋"/>
                <w:szCs w:val="21"/>
              </w:rPr>
            </w:pPr>
            <w:r>
              <w:rPr>
                <w:rFonts w:hint="eastAsia" w:ascii="仿宋" w:hAnsi="仿宋" w:eastAsia="仿宋" w:cs="仿宋"/>
                <w:szCs w:val="21"/>
              </w:rPr>
              <w:t>原设计将矿山划分为2个采区、分2期进行开采。一期采用溜矿槽+公路开拓，二期采用公路开拓，汽车运输，因原设计开采范围内废石量较大，采矿不经济，企业计划不再开采原一采区的资源，直接开采南侧的二采区内的资源，同时根据已采区现状重新规划二采区开拓运输系统，并重新调整排土场位置。</w:t>
            </w:r>
          </w:p>
          <w:p>
            <w:pPr>
              <w:overflowPunct w:val="0"/>
              <w:spacing w:line="276" w:lineRule="auto"/>
              <w:ind w:firstLine="464" w:firstLineChars="221"/>
              <w:rPr>
                <w:rFonts w:ascii="仿宋" w:hAnsi="仿宋" w:eastAsia="仿宋" w:cs="Arial"/>
                <w:color w:val="000000"/>
                <w:szCs w:val="28"/>
              </w:rPr>
            </w:pPr>
            <w:r>
              <w:rPr>
                <w:rFonts w:hint="eastAsia" w:ascii="仿宋" w:hAnsi="仿宋" w:eastAsia="仿宋" w:cs="仿宋"/>
                <w:szCs w:val="21"/>
              </w:rPr>
              <w:t>根据《建设项目安全设施“三同时”监督管理办法》（国家安监总局令第36号）及《重庆市安全生产监督管理局关于进一步规范全市非煤矿山安全生产行政许可工作的通知》（渝安监发〔2017〕49号）等有关规定，该矿山应按改建性质履行建设项目安全设施“三同时”程序</w:t>
            </w:r>
            <w:r>
              <w:rPr>
                <w:rFonts w:hint="eastAsia" w:ascii="仿宋" w:hAnsi="仿宋" w:eastAsia="仿宋" w:cs="Arial"/>
                <w:color w:val="000000"/>
                <w:szCs w:val="28"/>
              </w:rPr>
              <w:t>。</w:t>
            </w:r>
          </w:p>
          <w:p>
            <w:pPr>
              <w:overflowPunct w:val="0"/>
              <w:spacing w:line="276" w:lineRule="auto"/>
            </w:pPr>
            <w:r>
              <w:drawing>
                <wp:inline distT="0" distB="0" distL="114300" distR="114300">
                  <wp:extent cx="5311775" cy="2752090"/>
                  <wp:effectExtent l="0" t="0" r="317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11775" cy="27520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1</w:t>
            </w:r>
            <w:r>
              <w:rPr>
                <w:rFonts w:hint="eastAsia" w:cs="仿宋"/>
                <w:spacing w:val="-14"/>
                <w:sz w:val="21"/>
                <w:szCs w:val="21"/>
                <w:lang w:eastAsia="zh-CN"/>
              </w:rPr>
              <w:t>月</w:t>
            </w:r>
            <w:r>
              <w:rPr>
                <w:rFonts w:cs="仿宋"/>
                <w:spacing w:val="-14"/>
                <w:sz w:val="21"/>
                <w:szCs w:val="21"/>
                <w:lang w:eastAsia="zh-CN"/>
              </w:rPr>
              <w:t>18</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1</w:t>
            </w:r>
            <w:r>
              <w:rPr>
                <w:rFonts w:hint="eastAsia" w:ascii="仿宋" w:hAnsi="仿宋" w:eastAsia="仿宋" w:cs="仿宋"/>
                <w:spacing w:val="-14"/>
                <w:szCs w:val="21"/>
              </w:rPr>
              <w:t>月</w:t>
            </w:r>
            <w:r>
              <w:rPr>
                <w:rFonts w:ascii="仿宋" w:hAnsi="仿宋" w:eastAsia="仿宋" w:cs="仿宋"/>
                <w:spacing w:val="-14"/>
                <w:szCs w:val="21"/>
              </w:rPr>
              <w:t>18</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C5181F"/>
    <w:rsid w:val="32C51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2024-05-06T03:32:00Z</dcterms:created>
  <dc:creator>雷楠</dc:creator>
  <cp:lastModifiedBy>雷楠</cp:lastModifiedBy>
  <dcterms:modified xsi:type="dcterms:W3CDTF">2024-05-06T03:32:12Z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