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094"/>
      <w:bookmarkStart w:id="1" w:name="_Toc16246"/>
      <w:bookmarkStart w:id="2" w:name="_Toc29322"/>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重庆市星泉烟花爆竹销售有限公司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重庆市星泉烟花爆竹销售有限公司非法危险物品储存仓库安全评价报告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2024.4</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1100000000301652</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机械、安全工程</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w:t>
            </w:r>
            <w:r>
              <w:rPr>
                <w:rFonts w:hint="eastAsia" w:ascii="仿宋" w:hAnsi="仿宋" w:eastAsia="仿宋"/>
                <w:color w:val="auto"/>
                <w:szCs w:val="21"/>
                <w:highlight w:val="none"/>
                <w:lang w:eastAsia="zh-CN"/>
              </w:rPr>
              <w:t>重庆市星泉烟花爆竹销售有限公司共有10栋仓库，其中1号库、2号库、3号库和4号库共4栋仓库为烟花爆竹经营批发储存仓库，5号库、6号库、7号库、8号库、9号库和10号仓库共6栋仓库一直以来处于闲置状态，为解决梁平区收缴非法烟花爆竹的储存问题，重庆市梁平区应急管理局、重庆市梁平区公安局拟于2024年1月起租赁重庆市星泉烟花爆竹销售有限公司5号库、6号库、7号库、8号库、9号库和10号库共6栋闲置仓库用于储存收缴的非法烟花爆竹，在投入使用前需对非法烟花爆竹储存仓库进行安全评价。</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drawing>
                <wp:inline distT="0" distB="0" distL="114300" distR="114300">
                  <wp:extent cx="4902200" cy="2254885"/>
                  <wp:effectExtent l="0" t="0" r="12700"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902200" cy="2254885"/>
                          </a:xfrm>
                          <a:prstGeom prst="rect">
                            <a:avLst/>
                          </a:prstGeom>
                          <a:noFill/>
                          <a:ln>
                            <a:noFill/>
                          </a:ln>
                        </pic:spPr>
                      </pic:pic>
                    </a:graphicData>
                  </a:graphic>
                </wp:inline>
              </w:drawing>
            </w:r>
            <w:r>
              <w:rPr>
                <w:rFonts w:hint="eastAsia" w:ascii="Arial" w:hAnsi="Arial" w:eastAsia="宋体" w:cs="Arial"/>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2024.4.15</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2024.4.15</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A8797D"/>
    <w:rsid w:val="69A87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2024-04-17T02:55:00Z</dcterms:created>
  <dc:creator>雷楠</dc:creator>
  <cp:lastModifiedBy>雷楠</cp:lastModifiedBy>
  <dcterms:modified xsi:type="dcterms:W3CDTF">2024-04-17T02:55:27Z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