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2"/>
        <w:gridCol w:w="7"/>
        <w:gridCol w:w="311"/>
        <w:gridCol w:w="912"/>
        <w:gridCol w:w="375"/>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机构名称</w:t>
            </w:r>
          </w:p>
        </w:tc>
        <w:tc>
          <w:tcPr>
            <w:tcW w:w="3936"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kern w:val="0"/>
                <w:szCs w:val="21"/>
                <w14:textFill>
                  <w14:solidFill>
                    <w14:schemeClr w14:val="tx1"/>
                  </w14:solidFill>
                </w14:textFill>
              </w:rPr>
              <w:t>重庆市安全生产科学研究有限公司</w:t>
            </w:r>
          </w:p>
        </w:tc>
        <w:tc>
          <w:tcPr>
            <w:tcW w:w="1598"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景泰县金源铁矿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项目名称</w:t>
            </w:r>
          </w:p>
        </w:tc>
        <w:tc>
          <w:tcPr>
            <w:tcW w:w="8572" w:type="dxa"/>
            <w:gridSpan w:val="13"/>
            <w:vAlign w:val="center"/>
          </w:tcPr>
          <w:p>
            <w:pPr>
              <w:spacing w:line="500" w:lineRule="exact"/>
              <w:jc w:val="center"/>
              <w:rPr>
                <w:rFonts w:ascii="仿宋" w:hAnsi="仿宋" w:eastAsia="仿宋"/>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景泰县金源铁矿景泰县上沙沃镇李白茨水水泥用配料粘土矿</w:t>
            </w:r>
            <w:r>
              <w:rPr>
                <w:rFonts w:hint="eastAsia" w:ascii="仿宋" w:hAnsi="仿宋" w:eastAsia="仿宋"/>
                <w:color w:val="000000" w:themeColor="text1"/>
                <w:szCs w:val="21"/>
                <w14:textFill>
                  <w14:solidFill>
                    <w14:schemeClr w14:val="tx1"/>
                  </w14:solidFill>
                </w14:textFill>
              </w:rPr>
              <w:t>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hint="eastAsia" w:ascii="仿宋" w:hAnsi="仿宋" w:eastAsia="仿宋"/>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陈兴勇</w:t>
            </w:r>
          </w:p>
        </w:tc>
        <w:tc>
          <w:tcPr>
            <w:tcW w:w="2710" w:type="dxa"/>
            <w:gridSpan w:val="6"/>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2875"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陈兴勇</w:t>
            </w:r>
            <w:r>
              <w:rPr>
                <w:rFonts w:hint="eastAsia" w:ascii="仿宋" w:hAnsi="仿宋" w:eastAsia="仿宋"/>
                <w:color w:val="000000" w:themeColor="text1"/>
                <w:szCs w:val="21"/>
                <w:lang w:eastAsia="zh-CN"/>
                <w14:textFill>
                  <w14:solidFill>
                    <w14:schemeClr w14:val="tx1"/>
                  </w14:solidFill>
                </w14:textFill>
              </w:rPr>
              <w:t>、</w:t>
            </w:r>
            <w:r>
              <w:rPr>
                <w:rFonts w:hint="eastAsia" w:ascii="仿宋" w:hAnsi="仿宋" w:eastAsia="仿宋"/>
                <w:color w:val="000000" w:themeColor="text1"/>
                <w:szCs w:val="21"/>
                <w14:textFill>
                  <w14:solidFill>
                    <w14:schemeClr w14:val="tx1"/>
                  </w14:solidFill>
                </w14:textFill>
              </w:rPr>
              <w:t>卢耀鹏</w:t>
            </w:r>
          </w:p>
        </w:tc>
        <w:tc>
          <w:tcPr>
            <w:tcW w:w="2073" w:type="dxa"/>
            <w:gridSpan w:val="4"/>
            <w:vAlign w:val="center"/>
          </w:tcPr>
          <w:p>
            <w:pPr>
              <w:spacing w:line="5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w:t>
            </w:r>
            <w:r>
              <w:rPr>
                <w:rFonts w:ascii="仿宋" w:hAnsi="仿宋" w:eastAsia="仿宋"/>
                <w:color w:val="000000" w:themeColor="text1"/>
                <w:szCs w:val="21"/>
                <w14:textFill>
                  <w14:solidFill>
                    <w14:schemeClr w14:val="tx1"/>
                  </w14:solidFill>
                </w14:textFill>
              </w:rPr>
              <w:t>02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3</w:t>
            </w:r>
          </w:p>
        </w:tc>
        <w:tc>
          <w:tcPr>
            <w:tcW w:w="2169" w:type="dxa"/>
            <w:gridSpan w:val="4"/>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lang w:val="en-US" w:eastAsia="zh-CN"/>
                <w14:textFill>
                  <w14:solidFill>
                    <w14:schemeClr w14:val="tx1"/>
                  </w14:solidFill>
                </w14:textFill>
              </w:rPr>
              <w:t>曹强宝</w:t>
            </w:r>
          </w:p>
        </w:tc>
        <w:tc>
          <w:tcPr>
            <w:tcW w:w="2156" w:type="dxa"/>
            <w:gridSpan w:val="2"/>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徐  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注册安全工程师</w:t>
            </w:r>
          </w:p>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仿宋" w:hAnsi="仿宋" w:eastAsia="仿宋"/>
                <w:b/>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陈兴勇</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机械</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S011053000110191001247</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欧  建</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地质</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1800000000301234</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lang w:eastAsia="zh-CN"/>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bookmarkStart w:id="2" w:name="_GoBack"/>
            <w:bookmarkEnd w:id="2"/>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孙文豪</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通风</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Cs w:val="21"/>
                <w:lang w:eastAsia="zh-CN"/>
                <w14:textFill>
                  <w14:solidFill>
                    <w14:schemeClr w14:val="tx1"/>
                  </w14:solidFill>
                </w14:textFill>
              </w:rPr>
              <w:t>S011053000110193002453</w:t>
            </w:r>
          </w:p>
        </w:tc>
        <w:tc>
          <w:tcPr>
            <w:tcW w:w="2662"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s="Times New Roman"/>
                <w:color w:val="000000" w:themeColor="text1"/>
                <w:kern w:val="2"/>
                <w:sz w:val="21"/>
                <w:szCs w:val="21"/>
                <w:lang w:val="en-US" w:eastAsia="zh-CN" w:bidi="ar-SA"/>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吴子科</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采矿</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lang w:val="en-US" w:eastAsia="zh-CN"/>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1500000000100173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卢耀鹏</w:t>
            </w:r>
          </w:p>
        </w:tc>
        <w:tc>
          <w:tcPr>
            <w:tcW w:w="1586" w:type="dxa"/>
            <w:gridSpan w:val="2"/>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安全</w:t>
            </w:r>
          </w:p>
        </w:tc>
        <w:tc>
          <w:tcPr>
            <w:tcW w:w="2661" w:type="dxa"/>
            <w:gridSpan w:val="5"/>
            <w:vAlign w:val="center"/>
          </w:tcPr>
          <w:p>
            <w:pPr>
              <w:widowControl/>
              <w:adjustRightInd w:val="0"/>
              <w:snapToGrid w:val="0"/>
              <w:jc w:val="center"/>
              <w:rPr>
                <w:rFonts w:ascii="仿宋" w:hAnsi="仿宋" w:eastAsia="仿宋" w:cs="宋体"/>
                <w:color w:val="000000" w:themeColor="text1"/>
                <w:kern w:val="0"/>
                <w:sz w:val="21"/>
                <w:szCs w:val="21"/>
                <w:lang w:val="en-US" w:eastAsia="zh-CN" w:bidi="ar-SA"/>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S011041000110193001773</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曹强宝</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城市道路与桥梁</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 w:val="21"/>
                <w:szCs w:val="21"/>
                <w:lang w:val="en-US" w:eastAsia="zh-CN" w:bidi="ar-SA"/>
                <w14:textFill>
                  <w14:solidFill>
                    <w14:schemeClr w14:val="tx1"/>
                  </w14:solidFill>
                </w14:textFill>
              </w:rPr>
              <w:t>S011041000110192002509</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唐元杰</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采矿</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lang w:val="en-US" w:eastAsia="zh-CN"/>
                <w14:textFill>
                  <w14:solidFill>
                    <w14:schemeClr w14:val="tx1"/>
                  </w14:solidFill>
                </w14:textFill>
              </w:rPr>
              <w:t>0800000000103084</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冯</w:t>
            </w:r>
            <w:r>
              <w:rPr>
                <w:rFonts w:hint="eastAsia" w:ascii="仿宋" w:hAnsi="仿宋" w:eastAsia="仿宋" w:cs="宋体"/>
                <w:color w:val="000000" w:themeColor="text1"/>
                <w:kern w:val="0"/>
                <w:szCs w:val="21"/>
                <w:lang w:val="en-US" w:eastAsia="zh-CN"/>
                <w14:textFill>
                  <w14:solidFill>
                    <w14:schemeClr w14:val="tx1"/>
                  </w14:solidFill>
                </w14:textFill>
              </w:rPr>
              <w:t xml:space="preserve">  </w:t>
            </w:r>
            <w:r>
              <w:rPr>
                <w:rFonts w:hint="eastAsia" w:ascii="仿宋" w:hAnsi="仿宋" w:eastAsia="仿宋" w:cs="宋体"/>
                <w:color w:val="000000" w:themeColor="text1"/>
                <w:kern w:val="0"/>
                <w:szCs w:val="21"/>
                <w14:textFill>
                  <w14:solidFill>
                    <w14:schemeClr w14:val="tx1"/>
                  </w14:solidFill>
                </w14:textFill>
              </w:rPr>
              <w:t>皓</w:t>
            </w:r>
          </w:p>
        </w:tc>
        <w:tc>
          <w:tcPr>
            <w:tcW w:w="1586" w:type="dxa"/>
            <w:gridSpan w:val="2"/>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机械、化工机械</w:t>
            </w:r>
          </w:p>
        </w:tc>
        <w:tc>
          <w:tcPr>
            <w:tcW w:w="2661"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1600000000201292</w:t>
            </w:r>
          </w:p>
        </w:tc>
        <w:tc>
          <w:tcPr>
            <w:tcW w:w="2662" w:type="dxa"/>
            <w:gridSpan w:val="5"/>
            <w:vAlign w:val="center"/>
          </w:tcPr>
          <w:p>
            <w:pPr>
              <w:widowControl/>
              <w:adjustRightInd w:val="0"/>
              <w:snapToGrid w:val="0"/>
              <w:jc w:val="center"/>
              <w:rPr>
                <w:rFonts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徐  茂</w:t>
            </w:r>
          </w:p>
        </w:tc>
        <w:tc>
          <w:tcPr>
            <w:tcW w:w="1586" w:type="dxa"/>
            <w:gridSpan w:val="2"/>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通风</w:t>
            </w:r>
          </w:p>
        </w:tc>
        <w:tc>
          <w:tcPr>
            <w:tcW w:w="2661" w:type="dxa"/>
            <w:gridSpan w:val="5"/>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0800000000204169</w:t>
            </w:r>
          </w:p>
        </w:tc>
        <w:tc>
          <w:tcPr>
            <w:tcW w:w="2662" w:type="dxa"/>
            <w:gridSpan w:val="5"/>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w:t>
            </w:r>
          </w:p>
        </w:tc>
        <w:tc>
          <w:tcPr>
            <w:tcW w:w="1663" w:type="dxa"/>
            <w:vAlign w:val="center"/>
          </w:tcPr>
          <w:p>
            <w:pPr>
              <w:widowControl/>
              <w:adjustRightInd w:val="0"/>
              <w:snapToGrid w:val="0"/>
              <w:jc w:val="center"/>
              <w:rPr>
                <w:rFonts w:hint="eastAsia" w:ascii="仿宋" w:hAnsi="仿宋" w:eastAsia="仿宋" w:cs="宋体"/>
                <w:color w:val="000000" w:themeColor="text1"/>
                <w:kern w:val="0"/>
                <w:szCs w:val="21"/>
                <w14:textFill>
                  <w14:solidFill>
                    <w14:schemeClr w14:val="tx1"/>
                  </w14:solidFill>
                </w14:textFill>
              </w:rPr>
            </w:pPr>
            <w:r>
              <w:rPr>
                <w:rFonts w:hint="eastAsia" w:ascii="仿宋" w:hAnsi="仿宋" w:eastAsia="仿宋"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6" w:hRule="atLeast"/>
        </w:trPr>
        <w:tc>
          <w:tcPr>
            <w:tcW w:w="1390" w:type="dxa"/>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b/>
                <w:color w:val="000000" w:themeColor="text1"/>
                <w:szCs w:val="21"/>
                <w14:textFill>
                  <w14:solidFill>
                    <w14:schemeClr w14:val="tx1"/>
                  </w14:solidFill>
                </w14:textFill>
              </w:rPr>
              <w:t>项目简介</w:t>
            </w:r>
          </w:p>
        </w:tc>
        <w:tc>
          <w:tcPr>
            <w:tcW w:w="8572" w:type="dxa"/>
            <w:gridSpan w:val="13"/>
            <w:vAlign w:val="center"/>
          </w:tcPr>
          <w:p>
            <w:pPr>
              <w:adjustRightInd w:val="0"/>
              <w:snapToGrid w:val="0"/>
              <w:rPr>
                <w:rFonts w:ascii="仿宋" w:hAnsi="仿宋" w:eastAsia="仿宋" w:cs="宋体"/>
                <w:b/>
                <w:bCs/>
                <w:color w:val="000000" w:themeColor="text1"/>
                <w:szCs w:val="21"/>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项目简介：</w:t>
            </w:r>
          </w:p>
          <w:p>
            <w:pPr>
              <w:adjustRightInd w:val="0"/>
              <w:snapToGrid w:val="0"/>
              <w:spacing w:line="400" w:lineRule="exact"/>
              <w:rPr>
                <w:rFonts w:ascii="仿宋" w:hAnsi="仿宋" w:eastAsia="仿宋" w:cs="宋体"/>
                <w:bCs/>
                <w:color w:val="000000" w:themeColor="text1"/>
                <w:szCs w:val="21"/>
                <w14:textFill>
                  <w14:solidFill>
                    <w14:schemeClr w14:val="tx1"/>
                  </w14:solidFill>
                </w14:textFill>
              </w:rPr>
            </w:pPr>
            <w:bookmarkStart w:id="0" w:name="_Toc423437632"/>
            <w:r>
              <w:rPr>
                <w:rFonts w:hint="eastAsia" w:ascii="仿宋" w:hAnsi="仿宋" w:eastAsia="仿宋" w:cs="宋体"/>
                <w:bCs/>
                <w:color w:val="000000" w:themeColor="text1"/>
                <w:szCs w:val="21"/>
                <w14:textFill>
                  <w14:solidFill>
                    <w14:schemeClr w14:val="tx1"/>
                  </w14:solidFill>
                </w14:textFill>
              </w:rPr>
              <w:t>一、企业简介</w:t>
            </w:r>
          </w:p>
          <w:bookmarkEnd w:id="0"/>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金源铁矿景泰县上沙沃镇李白茨水水泥用配料粘土矿采矿权人为景泰县金源铁矿，公司成立于2000年6月12日。公司法定代表人：王晓萍，个人独资企业，出资额：50万元整。公司地址：甘肃省白银市景泰县一条山镇人民路89号。经营范围：水泥用粘土、石灰岩矿、冶金用石英岩采掘（凭许可证经营）、加工销售；矿石购销；其他人力资源服务。（不含煤炭等特种矿产品、国家限制经营的项目除外）</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景泰县金源铁矿景泰县上沙沃镇李白茨水水泥用配料粘土矿为露天矿山，</w:t>
            </w:r>
            <w:r>
              <w:rPr>
                <w:rFonts w:hint="eastAsia" w:ascii="仿宋" w:hAnsi="仿宋" w:eastAsia="仿宋" w:cs="仿宋"/>
                <w:color w:val="000000" w:themeColor="text1"/>
                <w:szCs w:val="21"/>
                <w:lang w:val="zh-CN" w:eastAsia="zh-CN"/>
                <w14:textFill>
                  <w14:solidFill>
                    <w14:schemeClr w14:val="tx1"/>
                  </w14:solidFill>
                </w14:textFill>
              </w:rPr>
              <w:t>开采矿种：水泥用粘土、冶金用石英岩，开采方式：露天开采，</w:t>
            </w:r>
            <w:r>
              <w:rPr>
                <w:rFonts w:hint="eastAsia" w:ascii="仿宋" w:hAnsi="仿宋" w:eastAsia="仿宋" w:cs="仿宋"/>
                <w:color w:val="000000" w:themeColor="text1"/>
                <w:szCs w:val="21"/>
                <w:lang w:val="zh-CN"/>
                <w14:textFill>
                  <w14:solidFill>
                    <w14:schemeClr w14:val="tx1"/>
                  </w14:solidFill>
                </w14:textFill>
              </w:rPr>
              <w:t>生产规模为</w:t>
            </w:r>
            <w:r>
              <w:rPr>
                <w:rFonts w:hint="eastAsia" w:ascii="仿宋" w:hAnsi="仿宋" w:eastAsia="仿宋" w:cs="仿宋"/>
                <w:color w:val="000000" w:themeColor="text1"/>
                <w:szCs w:val="21"/>
                <w:lang w:val="en-US" w:eastAsia="zh-CN"/>
                <w14:textFill>
                  <w14:solidFill>
                    <w14:schemeClr w14:val="tx1"/>
                  </w14:solidFill>
                </w14:textFill>
              </w:rPr>
              <w:t>7.00万吨/年</w:t>
            </w:r>
            <w:r>
              <w:rPr>
                <w:rFonts w:hint="eastAsia" w:ascii="仿宋" w:hAnsi="仿宋" w:eastAsia="仿宋" w:cs="仿宋"/>
                <w:color w:val="000000" w:themeColor="text1"/>
                <w:szCs w:val="21"/>
                <w:lang w:val="zh-CN"/>
                <w14:textFill>
                  <w14:solidFill>
                    <w14:schemeClr w14:val="tx1"/>
                  </w14:solidFill>
                </w14:textFill>
              </w:rPr>
              <w:t>，开拓运输方式</w:t>
            </w:r>
            <w:bookmarkStart w:id="1" w:name="_Hlk21272509"/>
            <w:r>
              <w:rPr>
                <w:rFonts w:hint="eastAsia" w:ascii="仿宋" w:hAnsi="仿宋" w:eastAsia="仿宋" w:cs="仿宋"/>
                <w:color w:val="000000" w:themeColor="text1"/>
                <w:szCs w:val="21"/>
                <w:lang w:val="zh-CN"/>
                <w14:textFill>
                  <w14:solidFill>
                    <w14:schemeClr w14:val="tx1"/>
                  </w14:solidFill>
                </w14:textFill>
              </w:rPr>
              <w:t>：公路开拓汽车运输方式，采矿方式：露天山坡式开采。</w:t>
            </w:r>
          </w:p>
          <w:bookmarkEnd w:id="1"/>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eastAsia="zh-CN"/>
                <w14:textFill>
                  <w14:solidFill>
                    <w14:schemeClr w14:val="tx1"/>
                  </w14:solidFill>
                </w14:textFill>
              </w:rPr>
              <w:t>景泰县金源铁矿景泰县上沙沃镇李白茨水水泥用配料粘土矿于2021年06月21日取得了白银市应急管理局颁发的《安全生产许可证》，许可证编号为：（甘）白FM安许证字【0029】号），（有效期：2021年06月21日至2024年06月20日）。许可范围：水泥用粘土、冶金用石英岩露天开采。。</w:t>
            </w:r>
          </w:p>
          <w:p>
            <w:pPr>
              <w:spacing w:line="360" w:lineRule="auto"/>
              <w:ind w:firstLine="420" w:firstLineChars="200"/>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仿宋"/>
                <w:color w:val="000000" w:themeColor="text1"/>
                <w:szCs w:val="21"/>
                <w:lang w:val="zh-CN"/>
                <w14:textFill>
                  <w14:solidFill>
                    <w14:schemeClr w14:val="tx1"/>
                  </w14:solidFill>
                </w14:textFill>
              </w:rPr>
              <w:t>景泰县金源铁矿景泰县上沙沃镇李白茨水水泥用配料粘土矿</w:t>
            </w:r>
            <w:r>
              <w:rPr>
                <w:rFonts w:hint="eastAsia" w:ascii="仿宋" w:hAnsi="仿宋" w:eastAsia="仿宋" w:cs="仿宋"/>
                <w:color w:val="000000" w:themeColor="text1"/>
                <w:szCs w:val="21"/>
                <w:lang w:val="zh-CN" w:eastAsia="zh-CN"/>
                <w14:textFill>
                  <w14:solidFill>
                    <w14:schemeClr w14:val="tx1"/>
                  </w14:solidFill>
                </w14:textFill>
              </w:rPr>
              <w:t>位于景泰县上沙沃镇白茨水村东北侧6.8km处</w:t>
            </w:r>
            <w:r>
              <w:rPr>
                <w:rFonts w:hint="eastAsia" w:ascii="仿宋" w:hAnsi="仿宋" w:eastAsia="仿宋" w:cs="仿宋"/>
                <w:color w:val="000000" w:themeColor="text1"/>
                <w:szCs w:val="21"/>
                <w:lang w:val="zh-CN"/>
                <w14:textFill>
                  <w14:solidFill>
                    <w14:schemeClr w14:val="tx1"/>
                  </w14:solidFill>
                </w14:textFill>
              </w:rPr>
              <w:t>，</w:t>
            </w:r>
            <w:r>
              <w:rPr>
                <w:rFonts w:ascii="仿宋" w:hAnsi="仿宋" w:eastAsia="仿宋" w:cs="仿宋"/>
                <w:color w:val="000000" w:themeColor="text1"/>
                <w:szCs w:val="21"/>
                <w:lang w:val="zh-CN"/>
                <w14:textFill>
                  <w14:solidFill>
                    <w14:schemeClr w14:val="tx1"/>
                  </w14:solidFill>
                </w14:textFill>
              </w:rPr>
              <w:t>矿区四周均为荒山</w:t>
            </w:r>
            <w:r>
              <w:rPr>
                <w:rFonts w:hint="eastAsia" w:ascii="仿宋" w:hAnsi="仿宋" w:eastAsia="仿宋" w:cs="仿宋"/>
                <w:color w:val="000000" w:themeColor="text1"/>
                <w:szCs w:val="21"/>
                <w:lang w:val="zh-CN"/>
                <w14:textFill>
                  <w14:solidFill>
                    <w14:schemeClr w14:val="tx1"/>
                  </w14:solidFill>
                </w14:textFill>
              </w:rPr>
              <w:t>，没有学校、医院、自然保护区、旅游区、选厂、尾矿库等需要保护的建筑设施。1000m范围内没有铁路、石油管道等通过。区域周边环境良好，矿山生产对周边环境影响较小。</w:t>
            </w:r>
          </w:p>
          <w:p>
            <w:pPr>
              <w:spacing w:line="360" w:lineRule="auto"/>
              <w:rPr>
                <w:rFonts w:ascii="仿宋" w:hAnsi="仿宋" w:eastAsia="仿宋" w:cs="仿宋"/>
                <w:color w:val="000000" w:themeColor="text1"/>
                <w:szCs w:val="21"/>
                <w:lang w:val="zh-CN"/>
                <w14:textFill>
                  <w14:solidFill>
                    <w14:schemeClr w14:val="tx1"/>
                  </w14:solidFill>
                </w14:textFill>
              </w:rPr>
            </w:pPr>
            <w:r>
              <w:rPr>
                <w:rFonts w:hint="eastAsia" w:ascii="仿宋" w:hAnsi="仿宋" w:eastAsia="仿宋" w:cs="宋体"/>
                <w:b/>
                <w:bCs/>
                <w:color w:val="000000" w:themeColor="text1"/>
                <w:szCs w:val="21"/>
                <w14:textFill>
                  <w14:solidFill>
                    <w14:schemeClr w14:val="tx1"/>
                  </w14:solidFill>
                </w14:textFill>
              </w:rPr>
              <w:t>现场勘察照片</w:t>
            </w:r>
            <w:r>
              <w:rPr>
                <w:rFonts w:hint="eastAsia" w:ascii="仿宋" w:hAnsi="仿宋" w:eastAsia="仿宋" w:cs="宋体"/>
                <w:color w:val="000000" w:themeColor="text1"/>
                <w:szCs w:val="21"/>
                <w14:textFill>
                  <w14:solidFill>
                    <w14:schemeClr w14:val="tx1"/>
                  </w14:solidFill>
                </w14:textFill>
              </w:rPr>
              <w:t>：</w:t>
            </w:r>
          </w:p>
          <w:p>
            <w:pPr>
              <w:pStyle w:val="5"/>
              <w:spacing w:line="240" w:lineRule="auto"/>
              <w:rPr>
                <w:rFonts w:ascii="仿宋" w:hAnsi="仿宋" w:eastAsia="仿宋" w:cs="宋体"/>
                <w:color w:val="000000" w:themeColor="text1"/>
                <w:szCs w:val="21"/>
                <w:lang w:eastAsia="zh-CN"/>
                <w14:textFill>
                  <w14:solidFill>
                    <w14:schemeClr w14:val="tx1"/>
                  </w14:solidFill>
                </w14:textFill>
              </w:rPr>
            </w:pPr>
            <w:r>
              <w:drawing>
                <wp:inline distT="0" distB="0" distL="114300" distR="114300">
                  <wp:extent cx="3452495" cy="2506980"/>
                  <wp:effectExtent l="0" t="0" r="14605"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52495" cy="250698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390" w:type="dxa"/>
            <w:vMerge w:val="restart"/>
            <w:vAlign w:val="center"/>
          </w:tcPr>
          <w:p>
            <w:pPr>
              <w:spacing w:line="5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勘验人员</w:t>
            </w:r>
          </w:p>
        </w:tc>
        <w:tc>
          <w:tcPr>
            <w:tcW w:w="2343"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勘验时间</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勘验任务</w:t>
            </w:r>
          </w:p>
        </w:tc>
        <w:tc>
          <w:tcPr>
            <w:tcW w:w="3413" w:type="dxa"/>
            <w:gridSpan w:val="5"/>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390" w:type="dxa"/>
            <w:vMerge w:val="continue"/>
            <w:vAlign w:val="center"/>
          </w:tcPr>
          <w:p>
            <w:pPr>
              <w:spacing w:line="500" w:lineRule="exact"/>
              <w:jc w:val="center"/>
              <w:rPr>
                <w:rFonts w:ascii="仿宋" w:hAnsi="仿宋" w:eastAsia="仿宋"/>
                <w:color w:val="000000" w:themeColor="text1"/>
                <w:szCs w:val="21"/>
                <w14:textFill>
                  <w14:solidFill>
                    <w14:schemeClr w14:val="tx1"/>
                  </w14:solidFill>
                </w14:textFill>
              </w:rPr>
            </w:pPr>
          </w:p>
        </w:tc>
        <w:tc>
          <w:tcPr>
            <w:tcW w:w="1586" w:type="dxa"/>
            <w:gridSpan w:val="2"/>
            <w:vAlign w:val="center"/>
          </w:tcPr>
          <w:p>
            <w:pPr>
              <w:spacing w:line="300" w:lineRule="exact"/>
              <w:jc w:val="left"/>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陈兴勇、李如香卢耀鹏</w:t>
            </w:r>
          </w:p>
        </w:tc>
        <w:tc>
          <w:tcPr>
            <w:tcW w:w="2343" w:type="dxa"/>
            <w:gridSpan w:val="3"/>
            <w:vAlign w:val="center"/>
          </w:tcPr>
          <w:p>
            <w:pPr>
              <w:spacing w:line="300" w:lineRule="exact"/>
              <w:jc w:val="center"/>
              <w:rPr>
                <w:rFonts w:hint="default" w:ascii="仿宋" w:hAnsi="仿宋" w:eastAsia="仿宋"/>
                <w:color w:val="000000" w:themeColor="text1"/>
                <w:szCs w:val="21"/>
                <w:lang w:val="en-US" w:eastAsia="zh-CN"/>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20</w:t>
            </w:r>
            <w:r>
              <w:rPr>
                <w:rFonts w:ascii="仿宋" w:hAnsi="仿宋" w:eastAsia="仿宋"/>
                <w:color w:val="000000" w:themeColor="text1"/>
                <w:szCs w:val="21"/>
                <w14:textFill>
                  <w14:solidFill>
                    <w14:schemeClr w14:val="tx1"/>
                  </w14:solidFill>
                </w14:textFill>
              </w:rPr>
              <w:t>2</w:t>
            </w:r>
            <w:r>
              <w:rPr>
                <w:rFonts w:hint="eastAsia" w:ascii="仿宋" w:hAnsi="仿宋" w:eastAsia="仿宋"/>
                <w:color w:val="000000" w:themeColor="text1"/>
                <w:szCs w:val="21"/>
                <w:lang w:val="en-US" w:eastAsia="zh-CN"/>
                <w14:textFill>
                  <w14:solidFill>
                    <w14:schemeClr w14:val="tx1"/>
                  </w14:solidFill>
                </w14:textFill>
              </w:rPr>
              <w:t>4</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03</w:t>
            </w:r>
            <w:r>
              <w:rPr>
                <w:rFonts w:ascii="仿宋" w:hAnsi="仿宋" w:eastAsia="仿宋"/>
                <w:color w:val="000000" w:themeColor="text1"/>
                <w:szCs w:val="21"/>
                <w14:textFill>
                  <w14:solidFill>
                    <w14:schemeClr w14:val="tx1"/>
                  </w14:solidFill>
                </w14:textFill>
              </w:rPr>
              <w:t>.</w:t>
            </w:r>
            <w:r>
              <w:rPr>
                <w:rFonts w:hint="eastAsia" w:ascii="仿宋" w:hAnsi="仿宋" w:eastAsia="仿宋"/>
                <w:color w:val="000000" w:themeColor="text1"/>
                <w:szCs w:val="21"/>
                <w:lang w:val="en-US" w:eastAsia="zh-CN"/>
                <w14:textFill>
                  <w14:solidFill>
                    <w14:schemeClr w14:val="tx1"/>
                  </w14:solidFill>
                </w14:textFill>
              </w:rPr>
              <w:t>04</w:t>
            </w:r>
          </w:p>
        </w:tc>
        <w:tc>
          <w:tcPr>
            <w:tcW w:w="1230" w:type="dxa"/>
            <w:gridSpan w:val="3"/>
            <w:vAlign w:val="center"/>
          </w:tcPr>
          <w:p>
            <w:pPr>
              <w:spacing w:line="300" w:lineRule="exact"/>
              <w:jc w:val="center"/>
              <w:rPr>
                <w:rFonts w:ascii="仿宋" w:hAnsi="仿宋" w:eastAsia="仿宋"/>
                <w:color w:val="000000" w:themeColor="text1"/>
                <w:szCs w:val="21"/>
                <w14:textFill>
                  <w14:solidFill>
                    <w14:schemeClr w14:val="tx1"/>
                  </w14:solidFill>
                </w14:textFill>
              </w:rPr>
            </w:pPr>
            <w:r>
              <w:rPr>
                <w:rFonts w:hint="eastAsia" w:ascii="仿宋" w:hAnsi="仿宋" w:eastAsia="仿宋"/>
                <w:color w:val="000000" w:themeColor="text1"/>
                <w:szCs w:val="21"/>
                <w14:textFill>
                  <w14:solidFill>
                    <w14:schemeClr w14:val="tx1"/>
                  </w14:solidFill>
                </w14:textFill>
              </w:rPr>
              <w:t>现场勘验</w:t>
            </w:r>
          </w:p>
        </w:tc>
        <w:tc>
          <w:tcPr>
            <w:tcW w:w="3413" w:type="dxa"/>
            <w:gridSpan w:val="5"/>
            <w:vAlign w:val="center"/>
          </w:tcPr>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1）道路排水沟部分损坏；</w:t>
            </w:r>
          </w:p>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2）矿山监控未设置；</w:t>
            </w:r>
          </w:p>
          <w:p>
            <w:pPr>
              <w:spacing w:line="300" w:lineRule="exact"/>
              <w:jc w:val="left"/>
              <w:rPr>
                <w:rFonts w:hint="default" w:ascii="仿宋" w:hAnsi="仿宋" w:eastAsia="仿宋" w:cs="Times New Roman"/>
                <w:color w:val="000000" w:themeColor="text1"/>
                <w:sz w:val="21"/>
                <w:szCs w:val="21"/>
                <w:lang w:val="en-US" w:eastAsia="zh-CN"/>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3）采场无警示标志；</w:t>
            </w:r>
          </w:p>
          <w:p>
            <w:pPr>
              <w:spacing w:line="300" w:lineRule="exact"/>
              <w:jc w:val="left"/>
              <w:rPr>
                <w:rFonts w:hint="default" w:ascii="仿宋" w:hAnsi="仿宋" w:eastAsia="仿宋" w:cs="Times New Roman"/>
                <w:color w:val="000000" w:themeColor="text1"/>
                <w:sz w:val="21"/>
                <w:szCs w:val="21"/>
                <w:lang w:val="en-US"/>
                <w14:textFill>
                  <w14:solidFill>
                    <w14:schemeClr w14:val="tx1"/>
                  </w14:solidFill>
                </w14:textFill>
              </w:rPr>
            </w:pPr>
            <w:r>
              <w:rPr>
                <w:rFonts w:hint="default" w:ascii="仿宋" w:hAnsi="仿宋" w:eastAsia="仿宋" w:cs="Times New Roman"/>
                <w:color w:val="000000" w:themeColor="text1"/>
                <w:sz w:val="21"/>
                <w:szCs w:val="21"/>
                <w:lang w:val="en-US" w:eastAsia="zh-CN"/>
                <w14:textFill>
                  <w14:solidFill>
                    <w14:schemeClr w14:val="tx1"/>
                  </w14:solidFill>
                </w14:textFill>
              </w:rPr>
              <w:t>4）应急预案未修订。</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519FB"/>
    <w:rsid w:val="3B62744A"/>
    <w:rsid w:val="4B551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 w:type="paragraph" w:customStyle="1" w:styleId="5">
    <w:name w:val="a 正文"/>
    <w:basedOn w:val="1"/>
    <w:qFormat/>
    <w:uiPriority w:val="99"/>
    <w:pPr>
      <w:spacing w:line="460" w:lineRule="exact"/>
      <w:jc w:val="center"/>
    </w:pPr>
    <w:rPr>
      <w:b/>
      <w:kern w:val="0"/>
      <w:szCs w:val="3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2024-04-12T02:16:00Z</dcterms:created>
  <dc:creator>雷楠</dc:creator>
  <cp:lastModifiedBy>雷楠</cp:lastModifiedBy>
  <dcterms:modified xsi:type="dcterms:W3CDTF">2024-04-12T02:18:24Z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