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Arial" w:hAnsi="宋体" w:cs="Arial"/>
                <w:color w:val="000000"/>
              </w:rPr>
              <w:t>涪陵页岩气田焦石坝区块焦页9号扩立体开发完善井网井组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2024.3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both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   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55210262939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035615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039952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55210270139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赵</w:t>
            </w:r>
            <w:r>
              <w:rPr>
                <w:rFonts w:ascii="仿宋_GB2312" w:hAnsi="宋体" w:eastAsia="仿宋_GB2312" w:cs="宋体"/>
                <w:kern w:val="0"/>
                <w:szCs w:val="21"/>
              </w:rPr>
              <w:t>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040396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李  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机械专业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仿宋" w:hAnsi="仿宋" w:eastAsia="仿宋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储运、电气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55090076429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5"/>
              <w:ind w:firstLine="420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涪陵页岩气田焦石坝区块焦页9号扩立体开发完善井网井组（以下简称“本工程”）位于焦石坝区块中部-西部。涪陵地区页岩气田焦石坝区块位于川东南涪陵区块南部，行政区划隶属于重庆市涪陵区焦石镇，地处涪陵区东部。2016年涪陵页岩气田就焦石坝区块一期产建区、江东、白涛和梓里场区块申报了页岩气采矿权，项目名称为“重庆市四川盆地涪陵焦石坝区块页岩气开采”，许可证号为0200001610036，采矿权人为中国石油化工股份有限公司，区块极值坐标：东经107°27′00″-107°32′15″、北纬29°31′00″-29°47′00″，采矿权面积576.19km²。</w:t>
            </w:r>
          </w:p>
          <w:p>
            <w:pPr>
              <w:pStyle w:val="5"/>
              <w:ind w:firstLine="420"/>
              <w:rPr>
                <w:rFonts w:hint="eastAsia"/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</w:rPr>
              <w:t>本工程扩建平台2座，钻井8口，平均水平段长2010米，标定单井日产能力3.472万方/天，按生产330天计算新建产能0.92亿方/年，新增可采储量5.89亿方，预计提高采收率15.37%，调整后采收率为24.01%，预测15年累产5.49亿方。</w:t>
            </w:r>
          </w:p>
          <w:p>
            <w:pPr>
              <w:pStyle w:val="5"/>
              <w:ind w:left="0" w:leftChars="0" w:firstLine="0" w:firstLineChars="0"/>
              <w:rPr>
                <w:rFonts w:hint="eastAsia" w:eastAsia="宋体"/>
                <w:sz w:val="21"/>
                <w:szCs w:val="21"/>
                <w:lang w:eastAsia="zh-CN"/>
              </w:rPr>
            </w:pPr>
            <w:r>
              <w:drawing>
                <wp:inline distT="0" distB="0" distL="114300" distR="114300">
                  <wp:extent cx="4143375" cy="3048000"/>
                  <wp:effectExtent l="0" t="0" r="9525" b="0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43375" cy="3048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赵紫微</w:t>
            </w:r>
            <w:r>
              <w:rPr>
                <w:rFonts w:ascii="仿宋" w:hAnsi="仿宋" w:eastAsia="仿宋"/>
                <w:szCs w:val="21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2024.3.5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经现场踏勘，最近居民位于平台东南侧，距离井口约104m，放喷池依托已有放喷池位于平台南侧，均最近井口约102m；放喷池距最近居民房屋约80m；焦页9平台西侧为焦石污水处理厂和焦石垃圾中转站，焦石污水处理厂距离焦页9平台工艺区为30m，焦石垃圾中转站距焦页9集气站工艺区为40m。</w:t>
            </w:r>
            <w:r>
              <w:rPr>
                <w:rFonts w:ascii="仿宋" w:hAnsi="仿宋" w:eastAsia="仿宋"/>
                <w:szCs w:val="21"/>
              </w:rPr>
              <w:t xml:space="preserve"> </w:t>
            </w:r>
          </w:p>
          <w:p>
            <w:pPr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17293C"/>
    <w:rsid w:val="76172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60" w:firstLineChars="200"/>
    </w:pPr>
    <w:rPr>
      <w:rFonts w:ascii="宋体" w:hAnsi="宋体"/>
      <w:sz w:val="28"/>
      <w:szCs w:val="24"/>
    </w:rPr>
  </w:style>
  <w:style w:type="paragraph" w:customStyle="1" w:styleId="5">
    <w:name w:val="HP正文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2024-04-01T08:29:00Z</dcterms:created>
  <dc:creator>雷楠</dc:creator>
  <cp:lastModifiedBy>雷楠</cp:lastModifiedBy>
  <dcterms:modified xsi:type="dcterms:W3CDTF">2024-04-01T08:29:41Z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