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583"/>
        <w:gridCol w:w="230"/>
        <w:gridCol w:w="949"/>
        <w:gridCol w:w="311"/>
        <w:gridCol w:w="178"/>
        <w:gridCol w:w="1109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武山县兴中实业有限公司桦林加油站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bCs/>
                <w:szCs w:val="21"/>
                <w:lang w:val="en-US" w:eastAsia="zh-CN"/>
              </w:rPr>
              <w:t>武山县兴中实业有限公司桦林加油站安全现状评价报告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cs="MS Gothic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赵长军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李晓斌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031076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015225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widowControl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该站罐区设站内罐区设4座30m3SF双层埋地卧式埋地储油罐，其中汽油罐2座，柴油罐2座，总罐容120m3，折标罐容90m3，加油罩棚下设置4台加油机，其中2台潜泵式汽油加油机，2台潜泵式柴油加油机，该加油站设有汽油卸油及加油油气回收系统，根据《汽车加油加气加氢站技术标准》（GB50156-2021）第3.0.9条的规定，该加油站为三级加油站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33850" cy="28194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281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14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赵长军</w:t>
            </w:r>
          </w:p>
        </w:tc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3.12</w:t>
            </w:r>
          </w:p>
          <w:p>
            <w:pPr>
              <w:spacing w:line="300" w:lineRule="exact"/>
              <w:jc w:val="center"/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  <w:tc>
          <w:tcPr>
            <w:tcW w:w="1668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经营条件</w:t>
            </w:r>
            <w:r>
              <w:rPr>
                <w:rFonts w:hint="eastAsia" w:ascii="仿宋" w:hAnsi="仿宋" w:eastAsia="仿宋"/>
                <w:szCs w:val="21"/>
              </w:rPr>
              <w:t>符合性进行检查</w:t>
            </w:r>
          </w:p>
        </w:tc>
        <w:tc>
          <w:tcPr>
            <w:tcW w:w="4147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加油站营业室未配备应急灯；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卸油箱盖处未设置防碰撞产生火花的橡皮胶条；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视频监控信息保存时间不足90天；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油罐区未设置安全警示标志；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发电机油箱未设置静电接地线；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部分油罐人孔井内介质流向标识错误。</w:t>
            </w:r>
          </w:p>
          <w:p>
            <w:pPr>
              <w:spacing w:line="300" w:lineRule="exact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668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47" w:type="dxa"/>
            <w:gridSpan w:val="5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D005D"/>
    <w:rsid w:val="5ACD0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2024-04-03T01:56:00Z</dcterms:created>
  <dc:creator>雷楠</dc:creator>
  <cp:lastModifiedBy>雷楠</cp:lastModifiedBy>
  <dcterms:modified xsi:type="dcterms:W3CDTF">2024-04-03T01:56:13Z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