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兴页1002HF、兴页L1002HF平台试采地面工程安全预评价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Chars="0"/>
              <w:rPr>
                <w:rFonts w:ascii="仿宋" w:hAnsi="仿宋" w:eastAsia="仿宋"/>
                <w:sz w:val="15"/>
                <w:szCs w:val="21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兴页1002HF、兴页L1002HF平台试采地面工程新建试采站1座，天然气处理规模5×10</w:t>
            </w:r>
            <w:r>
              <w:rPr>
                <w:rFonts w:hint="eastAsia" w:hAnsi="Times New Roman" w:cs="Arial"/>
                <w:color w:val="000000"/>
                <w:sz w:val="22"/>
                <w:vertAlign w:val="superscript"/>
              </w:rPr>
              <w:t>4</w:t>
            </w:r>
            <w:r>
              <w:rPr>
                <w:rFonts w:hint="eastAsia" w:hAnsi="Times New Roman" w:cs="Arial"/>
                <w:color w:val="000000"/>
                <w:sz w:val="22"/>
              </w:rPr>
              <w:t>m</w:t>
            </w:r>
            <w:r>
              <w:rPr>
                <w:rFonts w:hint="eastAsia" w:hAnsi="Times New Roman" w:cs="Arial"/>
                <w:color w:val="000000"/>
                <w:sz w:val="22"/>
                <w:vertAlign w:val="superscript"/>
              </w:rPr>
              <w:t>3</w:t>
            </w:r>
            <w:r>
              <w:rPr>
                <w:rFonts w:hint="eastAsia" w:hAnsi="Times New Roman" w:cs="Arial"/>
                <w:color w:val="000000"/>
                <w:sz w:val="22"/>
              </w:rPr>
              <w:t>/d，产出水处理规模5m</w:t>
            </w:r>
            <w:r>
              <w:rPr>
                <w:rFonts w:hint="eastAsia" w:hAnsi="Times New Roman" w:cs="Arial"/>
                <w:color w:val="000000"/>
                <w:sz w:val="22"/>
                <w:vertAlign w:val="superscript"/>
              </w:rPr>
              <w:t>3</w:t>
            </w:r>
            <w:r>
              <w:rPr>
                <w:rFonts w:hint="eastAsia" w:hAnsi="Times New Roman" w:cs="Arial"/>
                <w:color w:val="000000"/>
                <w:sz w:val="22"/>
              </w:rPr>
              <w:t>/d，产出油处理规模50m3/d。集输工艺为：油气井产物通过采油气管线输送至水套炉进行加热节流，然后进选井阀组控制一路去三相分离器分离计量，一路去生产分离器进行两相气液分离，分离后气相经聚结过滤器将气相带出液中的大分子烃类过滤一部分，然后交由第三方脱水、脱烃并提交二类商品气；生产分离出的液相进入定压三相闪蒸分离，分离的天然气作为站内的燃料气使用，采出水进20m³采出水罐或污水池，定期拉运；页岩油进卧式储油罐，定期装车拉运外销，站内采出水切至采出水罐</w:t>
            </w:r>
            <w:r>
              <w:rPr>
                <w:rFonts w:hAnsi="Times New Roman" w:cs="Arial"/>
                <w:color w:val="000000"/>
                <w:sz w:val="22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114800" cy="30194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301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82A7D"/>
    <w:rsid w:val="0EA8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2024-05-28T02:57:00Z</dcterms:created>
  <dc:creator>雷楠</dc:creator>
  <cp:lastModifiedBy>雷楠</cp:lastModifiedBy>
  <dcterms:modified xsi:type="dcterms:W3CDTF">2024-05-28T02:58:03Z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