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5"/>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widowControl/>
              <w:jc w:val="center"/>
              <w:rPr>
                <w:rFonts w:cs="仿宋"/>
                <w:spacing w:val="-14"/>
                <w:szCs w:val="21"/>
              </w:rPr>
            </w:pPr>
            <w:r>
              <w:rPr>
                <w:rFonts w:hint="eastAsia" w:ascii="仿宋" w:hAnsi="仿宋" w:eastAsia="仿宋" w:cs="仿宋"/>
                <w:color w:val="000000"/>
                <w:szCs w:val="21"/>
              </w:rPr>
              <w:t>重庆市九龙万博新材料科技有限公司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重庆市九龙万博新材料科技有限公司万博特铝甘宁尾矿库</w:t>
            </w:r>
            <w:r>
              <w:rPr>
                <w:rFonts w:ascii="仿宋" w:hAnsi="仿宋" w:eastAsia="仿宋" w:cs="仿宋"/>
                <w:color w:val="000000"/>
                <w:szCs w:val="21"/>
              </w:rPr>
              <w:t>（新建）</w:t>
            </w:r>
          </w:p>
          <w:p>
            <w:pPr>
              <w:widowControl/>
              <w:jc w:val="center"/>
              <w:rPr>
                <w:rFonts w:cs="仿宋"/>
                <w:color w:val="000000"/>
                <w:szCs w:val="21"/>
              </w:rPr>
            </w:pPr>
            <w:r>
              <w:rPr>
                <w:rFonts w:ascii="仿宋" w:hAnsi="仿宋" w:eastAsia="仿宋" w:cs="仿宋"/>
                <w:color w:val="000000"/>
                <w:szCs w:val="21"/>
              </w:rPr>
              <w:t>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6"/>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罗青海</w:t>
            </w:r>
          </w:p>
        </w:tc>
        <w:tc>
          <w:tcPr>
            <w:tcW w:w="2073" w:type="dxa"/>
            <w:gridSpan w:val="4"/>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2024年4月</w:t>
            </w:r>
          </w:p>
        </w:tc>
        <w:tc>
          <w:tcPr>
            <w:tcW w:w="2169" w:type="dxa"/>
            <w:gridSpan w:val="4"/>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重庆市九龙万博新材料科技有限公司成立于201</w:t>
            </w:r>
            <w:r>
              <w:rPr>
                <w:rFonts w:hint="eastAsia" w:ascii="仿宋" w:hAnsi="仿宋" w:eastAsia="仿宋" w:cs="仿宋"/>
                <w:szCs w:val="21"/>
              </w:rPr>
              <w:t>9</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w:t>
            </w:r>
            <w:r>
              <w:rPr>
                <w:rFonts w:hint="eastAsia" w:ascii="仿宋" w:hAnsi="仿宋" w:eastAsia="仿宋" w:cs="仿宋"/>
                <w:szCs w:val="21"/>
              </w:rPr>
              <w:t>06</w:t>
            </w:r>
            <w:r>
              <w:rPr>
                <w:rFonts w:ascii="仿宋" w:hAnsi="仿宋" w:eastAsia="仿宋" w:cs="仿宋"/>
                <w:szCs w:val="21"/>
              </w:rPr>
              <w:t>日，统一社会信用代码91500101MA60NBM62E，经济类型为有限责任公司，法定代表人陈国友。</w:t>
            </w:r>
            <w:r>
              <w:rPr>
                <w:rFonts w:hint="eastAsia" w:ascii="仿宋" w:hAnsi="仿宋" w:eastAsia="仿宋" w:cs="仿宋"/>
                <w:szCs w:val="21"/>
              </w:rPr>
              <w:t>万博特铝甘宁尾矿库是该公司年产</w:t>
            </w:r>
            <w:r>
              <w:rPr>
                <w:rFonts w:ascii="仿宋" w:hAnsi="仿宋" w:eastAsia="仿宋" w:cs="仿宋"/>
                <w:szCs w:val="21"/>
              </w:rPr>
              <w:t>360</w:t>
            </w:r>
            <w:r>
              <w:rPr>
                <w:rFonts w:hint="eastAsia" w:ascii="仿宋" w:hAnsi="仿宋" w:eastAsia="仿宋" w:cs="仿宋"/>
                <w:szCs w:val="21"/>
              </w:rPr>
              <w:t>万吨特铝新材料项目配套工程，每年堆存赤泥量约</w:t>
            </w:r>
            <w:r>
              <w:rPr>
                <w:rFonts w:ascii="仿宋" w:hAnsi="仿宋" w:eastAsia="仿宋" w:cs="仿宋"/>
                <w:szCs w:val="21"/>
              </w:rPr>
              <w:t>350</w:t>
            </w:r>
            <w:r>
              <w:rPr>
                <w:rFonts w:hint="eastAsia" w:ascii="仿宋" w:hAnsi="仿宋" w:eastAsia="仿宋" w:cs="仿宋"/>
                <w:szCs w:val="21"/>
              </w:rPr>
              <w:t>万吨。</w:t>
            </w:r>
          </w:p>
          <w:p>
            <w:pPr>
              <w:adjustRightInd w:val="0"/>
              <w:snapToGrid w:val="0"/>
              <w:spacing w:line="276" w:lineRule="auto"/>
              <w:ind w:left="67" w:leftChars="32" w:right="107" w:rightChars="51" w:firstLine="420" w:firstLineChars="200"/>
              <w:rPr>
                <w:rFonts w:ascii="仿宋" w:hAnsi="仿宋" w:eastAsia="仿宋" w:cs="仿宋"/>
                <w:szCs w:val="21"/>
              </w:rPr>
            </w:pPr>
            <w:r>
              <w:rPr>
                <w:rFonts w:hint="eastAsia" w:ascii="仿宋" w:hAnsi="仿宋" w:eastAsia="仿宋" w:cs="仿宋"/>
                <w:szCs w:val="21"/>
              </w:rPr>
              <w:t>该项目于</w:t>
            </w:r>
            <w:r>
              <w:rPr>
                <w:rFonts w:ascii="仿宋" w:hAnsi="仿宋" w:eastAsia="仿宋" w:cs="仿宋"/>
                <w:szCs w:val="21"/>
              </w:rPr>
              <w:t>2022</w:t>
            </w:r>
            <w:r>
              <w:rPr>
                <w:rFonts w:hint="eastAsia" w:ascii="仿宋" w:hAnsi="仿宋" w:eastAsia="仿宋" w:cs="仿宋"/>
                <w:szCs w:val="21"/>
              </w:rPr>
              <w:t>年</w:t>
            </w:r>
            <w:r>
              <w:rPr>
                <w:rFonts w:ascii="仿宋" w:hAnsi="仿宋" w:eastAsia="仿宋" w:cs="仿宋"/>
                <w:szCs w:val="21"/>
              </w:rPr>
              <w:t>9</w:t>
            </w:r>
            <w:r>
              <w:rPr>
                <w:rFonts w:hint="eastAsia" w:ascii="仿宋" w:hAnsi="仿宋" w:eastAsia="仿宋" w:cs="仿宋"/>
                <w:szCs w:val="21"/>
              </w:rPr>
              <w:t>月</w:t>
            </w:r>
            <w:r>
              <w:rPr>
                <w:rFonts w:ascii="仿宋" w:hAnsi="仿宋" w:eastAsia="仿宋" w:cs="仿宋"/>
                <w:szCs w:val="21"/>
              </w:rPr>
              <w:t>2</w:t>
            </w:r>
            <w:r>
              <w:rPr>
                <w:rFonts w:hint="eastAsia" w:ascii="仿宋" w:hAnsi="仿宋" w:eastAsia="仿宋" w:cs="仿宋"/>
                <w:szCs w:val="21"/>
              </w:rPr>
              <w:t>1日取得重庆市万州区发展和改革委员会核发的投资项目备案证，确定项目性质为新建。2</w:t>
            </w:r>
            <w:r>
              <w:rPr>
                <w:rFonts w:ascii="仿宋" w:hAnsi="仿宋" w:eastAsia="仿宋" w:cs="仿宋"/>
                <w:szCs w:val="21"/>
              </w:rPr>
              <w:t>02</w:t>
            </w:r>
            <w:r>
              <w:rPr>
                <w:rFonts w:hint="eastAsia" w:ascii="仿宋" w:hAnsi="仿宋" w:eastAsia="仿宋" w:cs="仿宋"/>
                <w:szCs w:val="21"/>
              </w:rPr>
              <w:t>3年元月，万博特铝甘宁尾矿库通过了万州区发改委、生态环境局、应急管理局、水利局、规划和自然资源局、甘宁镇人民政府联合踏勘选址，尾矿库位于万州区甘宁镇中屯村，与万州主城区直线距离约25km，与该公司氧化铝厂直线距离为12.7km、实际距离约27km，交通方便。2023年5月，该公司委托沈阳铝镁设计研究院有限公司编制的《重庆市九龙万博新材料科技有限公司万博特铝甘宁尾矿库项目安全设施设计》通过了重庆市应急管理局审查并取得批复（渝应急非煤复</w:t>
            </w:r>
            <w:r>
              <w:rPr>
                <w:rFonts w:ascii="仿宋" w:hAnsi="仿宋" w:eastAsia="仿宋" w:cs="仿宋"/>
                <w:szCs w:val="21"/>
              </w:rPr>
              <w:t>〔20</w:t>
            </w:r>
            <w:r>
              <w:rPr>
                <w:rFonts w:hint="eastAsia" w:ascii="仿宋" w:hAnsi="仿宋" w:eastAsia="仿宋" w:cs="仿宋"/>
                <w:szCs w:val="21"/>
              </w:rPr>
              <w:t>23</w:t>
            </w:r>
            <w:r>
              <w:rPr>
                <w:rFonts w:ascii="仿宋" w:hAnsi="仿宋" w:eastAsia="仿宋" w:cs="仿宋"/>
                <w:szCs w:val="21"/>
              </w:rPr>
              <w:t>〕</w:t>
            </w:r>
            <w:r>
              <w:rPr>
                <w:rFonts w:hint="eastAsia" w:ascii="仿宋" w:hAnsi="仿宋" w:eastAsia="仿宋" w:cs="仿宋"/>
                <w:szCs w:val="21"/>
              </w:rPr>
              <w:t>45号）：该尾矿库采用滤饼干法堆存工艺，类型为沟谷型，设计总库容839万m</w:t>
            </w:r>
            <w:r>
              <w:rPr>
                <w:rFonts w:hint="eastAsia" w:ascii="仿宋" w:hAnsi="仿宋" w:eastAsia="仿宋" w:cs="仿宋"/>
                <w:szCs w:val="21"/>
                <w:vertAlign w:val="superscript"/>
              </w:rPr>
              <w:t>3</w:t>
            </w:r>
            <w:r>
              <w:rPr>
                <w:rFonts w:hint="eastAsia" w:ascii="仿宋" w:hAnsi="仿宋" w:eastAsia="仿宋" w:cs="仿宋"/>
                <w:szCs w:val="21"/>
              </w:rPr>
              <w:t>，总坝高为130m（初期坝高约50m、堆积坝高约80m），等别为三等尾矿库；初期坝采用碾压土石坝，堆积坝采用干法赤泥碾压筑坝：尾矿排放采用周边排放方式;防排洪系统采用排洪井+排洪涵管组成；该建设施项目施工期限为12个月，自2023年5月16日起生效。</w:t>
            </w:r>
          </w:p>
          <w:p>
            <w:pPr>
              <w:adjustRightInd w:val="0"/>
              <w:snapToGrid w:val="0"/>
              <w:spacing w:line="276" w:lineRule="auto"/>
              <w:ind w:left="67" w:leftChars="32" w:right="107" w:rightChars="51" w:firstLine="420" w:firstLineChars="200"/>
              <w:rPr>
                <w:rFonts w:ascii="仿宋" w:hAnsi="仿宋" w:eastAsia="仿宋" w:cs="仿宋"/>
                <w:szCs w:val="21"/>
              </w:rPr>
            </w:pPr>
            <w:r>
              <w:rPr>
                <w:rFonts w:hint="eastAsia" w:ascii="仿宋" w:hAnsi="仿宋" w:eastAsia="仿宋" w:cs="仿宋"/>
                <w:szCs w:val="21"/>
              </w:rPr>
              <w:t>在取得各相关部门施工许可后，该</w:t>
            </w:r>
            <w:r>
              <w:rPr>
                <w:rFonts w:ascii="仿宋" w:hAnsi="仿宋" w:eastAsia="仿宋" w:cs="仿宋"/>
                <w:szCs w:val="21"/>
              </w:rPr>
              <w:t>尾矿库进行施工建设</w:t>
            </w:r>
            <w:r>
              <w:rPr>
                <w:rFonts w:hint="eastAsia" w:ascii="仿宋" w:hAnsi="仿宋" w:eastAsia="仿宋" w:cs="仿宋"/>
                <w:szCs w:val="21"/>
              </w:rPr>
              <w:t>；2024年1月底，该</w:t>
            </w:r>
            <w:r>
              <w:rPr>
                <w:rFonts w:ascii="仿宋" w:hAnsi="仿宋" w:eastAsia="仿宋" w:cs="仿宋"/>
                <w:szCs w:val="21"/>
              </w:rPr>
              <w:t>尾矿库基本完成了主体工程和安全设施建设，</w:t>
            </w:r>
            <w:r>
              <w:rPr>
                <w:rFonts w:hint="eastAsia" w:ascii="仿宋" w:hAnsi="仿宋" w:eastAsia="仿宋" w:cs="仿宋"/>
                <w:szCs w:val="21"/>
              </w:rPr>
              <w:t>随后进入试运行期。</w:t>
            </w:r>
            <w:r>
              <w:rPr>
                <w:rFonts w:ascii="仿宋" w:hAnsi="仿宋" w:eastAsia="仿宋" w:cs="仿宋"/>
                <w:szCs w:val="21"/>
              </w:rPr>
              <w:t>截止</w:t>
            </w:r>
            <w:r>
              <w:rPr>
                <w:rFonts w:hint="eastAsia" w:ascii="仿宋" w:hAnsi="仿宋" w:eastAsia="仿宋" w:cs="仿宋"/>
                <w:szCs w:val="21"/>
              </w:rPr>
              <w:t>2024年3月底</w:t>
            </w:r>
            <w:r>
              <w:rPr>
                <w:rFonts w:ascii="仿宋" w:hAnsi="仿宋" w:eastAsia="仿宋" w:cs="仿宋"/>
                <w:szCs w:val="21"/>
              </w:rPr>
              <w:t>，重庆市九龙万博新材料科技有限公司按设计要求完成了尾矿库主体工程及安全设施建设，</w:t>
            </w:r>
            <w:r>
              <w:rPr>
                <w:rFonts w:hint="eastAsia" w:ascii="仿宋" w:hAnsi="仿宋" w:eastAsia="仿宋" w:cs="仿宋"/>
                <w:szCs w:val="21"/>
              </w:rPr>
              <w:t>试运行期间各系统运转正常，安全管理制度执行良好，</w:t>
            </w:r>
            <w:r>
              <w:rPr>
                <w:rFonts w:ascii="仿宋" w:hAnsi="仿宋" w:eastAsia="仿宋" w:cs="仿宋"/>
                <w:szCs w:val="21"/>
              </w:rPr>
              <w:t>已基本具备安全设施验收条件。</w:t>
            </w:r>
          </w:p>
          <w:p>
            <w:pPr>
              <w:adjustRightInd w:val="0"/>
              <w:snapToGrid w:val="0"/>
              <w:spacing w:line="276" w:lineRule="auto"/>
              <w:ind w:left="67" w:leftChars="32" w:right="107" w:rightChars="51" w:firstLine="420" w:firstLineChars="200"/>
              <w:jc w:val="left"/>
              <w:rPr>
                <w:rFonts w:hint="eastAsia" w:ascii="仿宋" w:hAnsi="仿宋" w:eastAsia="仿宋" w:cs="仿宋"/>
                <w:szCs w:val="21"/>
              </w:rPr>
            </w:pPr>
            <w:r>
              <w:rPr>
                <w:rFonts w:ascii="仿宋" w:hAnsi="仿宋" w:eastAsia="仿宋" w:cs="仿宋"/>
                <w:szCs w:val="21"/>
              </w:rPr>
              <w:t>202</w:t>
            </w:r>
            <w:r>
              <w:rPr>
                <w:rFonts w:hint="eastAsia" w:ascii="仿宋" w:hAnsi="仿宋" w:eastAsia="仿宋" w:cs="仿宋"/>
                <w:szCs w:val="21"/>
              </w:rPr>
              <w:t>4</w:t>
            </w:r>
            <w:r>
              <w:rPr>
                <w:rFonts w:ascii="仿宋" w:hAnsi="仿宋" w:eastAsia="仿宋" w:cs="仿宋"/>
                <w:szCs w:val="21"/>
              </w:rPr>
              <w:t>年</w:t>
            </w:r>
            <w:r>
              <w:rPr>
                <w:rFonts w:hint="eastAsia" w:ascii="仿宋" w:hAnsi="仿宋" w:eastAsia="仿宋" w:cs="仿宋"/>
                <w:szCs w:val="21"/>
              </w:rPr>
              <w:t>2</w:t>
            </w:r>
            <w:r>
              <w:rPr>
                <w:rFonts w:ascii="仿宋" w:hAnsi="仿宋" w:eastAsia="仿宋" w:cs="仿宋"/>
                <w:szCs w:val="21"/>
              </w:rPr>
              <w:t>月，重庆市九龙万博新材料科技有限公司委托我公司对该矿山进行安全设施验收评价。按照安全评价的有关要求，我公司随即成立了验收评价小组并到矿山收集了业主单位的相关资料，检查其安全设施建设情况、生产管理技术措施到位情况等。</w:t>
            </w:r>
            <w:r>
              <w:rPr>
                <w:rFonts w:hint="eastAsia" w:ascii="仿宋" w:hAnsi="仿宋" w:eastAsia="仿宋" w:cs="仿宋"/>
                <w:szCs w:val="21"/>
              </w:rPr>
              <w:t>本次评价的范围为：</w:t>
            </w:r>
            <w:r>
              <w:rPr>
                <w:rFonts w:ascii="仿宋" w:hAnsi="仿宋" w:eastAsia="仿宋" w:cs="仿宋"/>
                <w:szCs w:val="21"/>
              </w:rPr>
              <w:t>万博特铝甘宁</w:t>
            </w:r>
            <w:r>
              <w:rPr>
                <w:rFonts w:hint="eastAsia" w:ascii="仿宋" w:hAnsi="仿宋" w:eastAsia="仿宋" w:cs="仿宋"/>
                <w:szCs w:val="21"/>
              </w:rPr>
              <w:t>尾矿库设计</w:t>
            </w:r>
            <w:r>
              <w:rPr>
                <w:rFonts w:ascii="仿宋" w:hAnsi="仿宋" w:eastAsia="仿宋" w:cs="仿宋"/>
                <w:szCs w:val="21"/>
              </w:rPr>
              <w:t>范围内的生产系统、辅助生产系统的安全设施，包括基本安全设施、专用安全设施和安全管理等。</w:t>
            </w:r>
          </w:p>
          <w:p>
            <w:pPr>
              <w:adjustRightInd w:val="0"/>
              <w:snapToGrid w:val="0"/>
              <w:spacing w:line="276" w:lineRule="auto"/>
              <w:ind w:left="66" w:leftChars="14" w:right="107" w:rightChars="51" w:hanging="37" w:hangingChars="18"/>
              <w:jc w:val="center"/>
              <w:rPr>
                <w:rFonts w:hint="eastAsia" w:ascii="仿宋" w:hAnsi="仿宋" w:eastAsia="仿宋" w:cs="仿宋"/>
                <w:color w:val="000000"/>
                <w:szCs w:val="21"/>
              </w:rPr>
            </w:pPr>
            <w:r>
              <w:drawing>
                <wp:inline distT="0" distB="0" distL="114300" distR="114300">
                  <wp:extent cx="4940935" cy="2940050"/>
                  <wp:effectExtent l="0" t="0" r="1206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40935" cy="2940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gridSpan w:val="4"/>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2024年2月21日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371" w:type="dxa"/>
            <w:gridSpan w:val="4"/>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2024年2月21日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954DE6"/>
    <w:rsid w:val="42954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2024-06-06T06:32:00Z</dcterms:created>
  <dc:creator>雷楠</dc:creator>
  <cp:lastModifiedBy>雷楠</cp:lastModifiedBy>
  <dcterms:modified xsi:type="dcterms:W3CDTF">2024-06-06T06:32:35Z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